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57448" w:rsidRPr="00FF45BA" w:rsidRDefault="005B65FD" w:rsidP="004E4401">
      <w:pPr>
        <w:jc w:val="both"/>
        <w:rPr>
          <w:rFonts w:ascii="Arial" w:hAnsi="Arial" w:cs="Arial"/>
        </w:rPr>
      </w:pPr>
      <w:bookmarkStart w:id="0" w:name="_GoBack"/>
      <w:bookmarkEnd w:id="0"/>
      <w:r>
        <w:rPr>
          <w:rFonts w:ascii="Arial" w:hAnsi="Arial" w:cs="Arial"/>
        </w:rPr>
        <w:t xml:space="preserve">Pernambuco, </w:t>
      </w:r>
      <w:r w:rsidR="00A64F8A">
        <w:rPr>
          <w:rFonts w:ascii="Arial" w:hAnsi="Arial" w:cs="Arial"/>
        </w:rPr>
        <w:t>19</w:t>
      </w:r>
      <w:r w:rsidR="00DE34B4" w:rsidRPr="00FF45BA">
        <w:rPr>
          <w:rFonts w:ascii="Arial" w:hAnsi="Arial" w:cs="Arial"/>
        </w:rPr>
        <w:t xml:space="preserve"> de </w:t>
      </w:r>
      <w:r w:rsidR="00AD581E">
        <w:rPr>
          <w:rFonts w:ascii="Arial" w:hAnsi="Arial" w:cs="Arial"/>
        </w:rPr>
        <w:t>novem</w:t>
      </w:r>
      <w:r>
        <w:rPr>
          <w:rFonts w:ascii="Arial" w:hAnsi="Arial" w:cs="Arial"/>
        </w:rPr>
        <w:t>b</w:t>
      </w:r>
      <w:r w:rsidR="00DE34B4" w:rsidRPr="00FF45BA">
        <w:rPr>
          <w:rFonts w:ascii="Arial" w:hAnsi="Arial" w:cs="Arial"/>
        </w:rPr>
        <w:t>ro de 2018.</w:t>
      </w:r>
    </w:p>
    <w:p w:rsidR="00DE34B4" w:rsidRPr="00FF45BA" w:rsidRDefault="00DE34B4" w:rsidP="004F2CBE">
      <w:pPr>
        <w:jc w:val="right"/>
        <w:rPr>
          <w:rFonts w:ascii="Arial" w:hAnsi="Arial" w:cs="Arial"/>
        </w:rPr>
      </w:pPr>
    </w:p>
    <w:p w:rsidR="00E911CD" w:rsidRPr="00FF45BA" w:rsidRDefault="00E911CD" w:rsidP="00DE34B4">
      <w:pPr>
        <w:jc w:val="both"/>
        <w:rPr>
          <w:rFonts w:ascii="Arial" w:hAnsi="Arial" w:cs="Arial"/>
        </w:rPr>
      </w:pPr>
    </w:p>
    <w:p w:rsidR="00DE34B4" w:rsidRPr="00E911CD" w:rsidRDefault="00E911CD" w:rsidP="00DE34B4">
      <w:pPr>
        <w:jc w:val="both"/>
        <w:rPr>
          <w:rFonts w:ascii="Arial" w:hAnsi="Arial" w:cs="Arial"/>
        </w:rPr>
      </w:pPr>
      <w:r w:rsidRPr="00E911CD">
        <w:rPr>
          <w:rFonts w:ascii="Arial" w:hAnsi="Arial" w:cs="Arial"/>
        </w:rPr>
        <w:t>À</w:t>
      </w:r>
    </w:p>
    <w:p w:rsidR="00E911CD" w:rsidRDefault="00E911CD" w:rsidP="00DE34B4">
      <w:pPr>
        <w:jc w:val="both"/>
        <w:rPr>
          <w:rFonts w:ascii="Arial" w:hAnsi="Arial" w:cs="Arial"/>
        </w:rPr>
      </w:pPr>
      <w:r w:rsidRPr="00E911CD">
        <w:rPr>
          <w:rFonts w:ascii="Arial" w:hAnsi="Arial" w:cs="Arial"/>
        </w:rPr>
        <w:t>Agência Nacional d</w:t>
      </w:r>
      <w:r>
        <w:rPr>
          <w:rFonts w:ascii="Arial" w:hAnsi="Arial" w:cs="Arial"/>
        </w:rPr>
        <w:t>o</w:t>
      </w:r>
      <w:r w:rsidRPr="00E911CD">
        <w:rPr>
          <w:rFonts w:ascii="Arial" w:hAnsi="Arial" w:cs="Arial"/>
        </w:rPr>
        <w:t xml:space="preserve"> Petróleo, Gás Natural e Biocombustí</w:t>
      </w:r>
      <w:r>
        <w:rPr>
          <w:rFonts w:ascii="Arial" w:hAnsi="Arial" w:cs="Arial"/>
        </w:rPr>
        <w:t>veis – ANP</w:t>
      </w:r>
    </w:p>
    <w:p w:rsidR="000809F2" w:rsidRDefault="00823690" w:rsidP="00DE34B4">
      <w:pPr>
        <w:jc w:val="both"/>
        <w:rPr>
          <w:rFonts w:ascii="Arial" w:hAnsi="Arial" w:cs="Arial"/>
        </w:rPr>
      </w:pPr>
      <w:r>
        <w:rPr>
          <w:rFonts w:ascii="Arial" w:hAnsi="Arial" w:cs="Arial"/>
        </w:rPr>
        <w:t xml:space="preserve">Superintendência de </w:t>
      </w:r>
      <w:r w:rsidR="00621454">
        <w:rPr>
          <w:rFonts w:ascii="Arial" w:hAnsi="Arial" w:cs="Arial"/>
        </w:rPr>
        <w:t>Distribuição e Logística</w:t>
      </w:r>
    </w:p>
    <w:p w:rsidR="000809F2" w:rsidRDefault="000809F2" w:rsidP="00DE34B4">
      <w:pPr>
        <w:jc w:val="both"/>
        <w:rPr>
          <w:rFonts w:ascii="Arial" w:hAnsi="Arial" w:cs="Arial"/>
        </w:rPr>
      </w:pPr>
      <w:r>
        <w:rPr>
          <w:rFonts w:ascii="Arial" w:hAnsi="Arial" w:cs="Arial"/>
        </w:rPr>
        <w:t xml:space="preserve">At.: Sr. </w:t>
      </w:r>
      <w:r w:rsidR="00621454">
        <w:rPr>
          <w:rFonts w:ascii="Arial" w:hAnsi="Arial" w:cs="Arial"/>
        </w:rPr>
        <w:t>Cezar Caram Issa</w:t>
      </w:r>
    </w:p>
    <w:p w:rsidR="000809F2" w:rsidRDefault="000809F2" w:rsidP="00DE34B4">
      <w:pPr>
        <w:jc w:val="both"/>
        <w:rPr>
          <w:rFonts w:ascii="Arial" w:hAnsi="Arial" w:cs="Arial"/>
        </w:rPr>
      </w:pPr>
    </w:p>
    <w:p w:rsidR="00AC584B" w:rsidRDefault="00AC584B" w:rsidP="00AC584B">
      <w:pPr>
        <w:jc w:val="right"/>
        <w:rPr>
          <w:rFonts w:ascii="Arial" w:hAnsi="Arial" w:cs="Arial"/>
        </w:rPr>
      </w:pPr>
      <w:r>
        <w:rPr>
          <w:rFonts w:ascii="Arial" w:hAnsi="Arial" w:cs="Arial"/>
        </w:rPr>
        <w:t>Ref.: Tomada Pública de Contribuições</w:t>
      </w:r>
    </w:p>
    <w:p w:rsidR="00AC584B" w:rsidRDefault="00FB01CD" w:rsidP="00AC584B">
      <w:pPr>
        <w:jc w:val="right"/>
        <w:rPr>
          <w:rFonts w:ascii="Arial" w:hAnsi="Arial" w:cs="Arial"/>
        </w:rPr>
      </w:pPr>
      <w:r>
        <w:rPr>
          <w:rFonts w:ascii="Arial" w:hAnsi="Arial" w:cs="Arial"/>
        </w:rPr>
        <w:t>Nº 04</w:t>
      </w:r>
      <w:r w:rsidR="00AC584B">
        <w:rPr>
          <w:rFonts w:ascii="Arial" w:hAnsi="Arial" w:cs="Arial"/>
        </w:rPr>
        <w:t xml:space="preserve">/2018, </w:t>
      </w:r>
      <w:proofErr w:type="gramStart"/>
      <w:r w:rsidR="00AC584B">
        <w:rPr>
          <w:rFonts w:ascii="Arial" w:hAnsi="Arial" w:cs="Arial"/>
        </w:rPr>
        <w:t>Publicada</w:t>
      </w:r>
      <w:proofErr w:type="gramEnd"/>
      <w:r>
        <w:rPr>
          <w:rFonts w:ascii="Arial" w:hAnsi="Arial" w:cs="Arial"/>
        </w:rPr>
        <w:t xml:space="preserve"> no DOU de </w:t>
      </w:r>
      <w:r w:rsidR="00A01A4E">
        <w:rPr>
          <w:rFonts w:ascii="Arial" w:hAnsi="Arial" w:cs="Arial"/>
        </w:rPr>
        <w:t>20</w:t>
      </w:r>
      <w:r>
        <w:rPr>
          <w:rFonts w:ascii="Arial" w:hAnsi="Arial" w:cs="Arial"/>
        </w:rPr>
        <w:t>/09</w:t>
      </w:r>
      <w:r w:rsidR="00AC584B">
        <w:rPr>
          <w:rFonts w:ascii="Arial" w:hAnsi="Arial" w:cs="Arial"/>
        </w:rPr>
        <w:t>/18</w:t>
      </w:r>
    </w:p>
    <w:p w:rsidR="00AC584B" w:rsidRDefault="00AC584B" w:rsidP="00AC584B">
      <w:pPr>
        <w:jc w:val="right"/>
        <w:rPr>
          <w:rFonts w:ascii="Arial" w:hAnsi="Arial" w:cs="Arial"/>
        </w:rPr>
      </w:pPr>
    </w:p>
    <w:p w:rsidR="00AC584B" w:rsidRDefault="00AC584B" w:rsidP="00AC584B">
      <w:pPr>
        <w:jc w:val="both"/>
        <w:rPr>
          <w:rFonts w:ascii="Arial" w:hAnsi="Arial" w:cs="Arial"/>
        </w:rPr>
      </w:pPr>
      <w:r>
        <w:rPr>
          <w:rFonts w:ascii="Arial" w:hAnsi="Arial" w:cs="Arial"/>
        </w:rPr>
        <w:t>Prezados Senhores,</w:t>
      </w:r>
    </w:p>
    <w:p w:rsidR="00AC584B" w:rsidRDefault="00AC584B" w:rsidP="00AC584B">
      <w:pPr>
        <w:jc w:val="both"/>
        <w:rPr>
          <w:rFonts w:ascii="Arial" w:hAnsi="Arial" w:cs="Arial"/>
        </w:rPr>
      </w:pPr>
    </w:p>
    <w:p w:rsidR="00AC584B" w:rsidRDefault="00AC584B" w:rsidP="007C1817">
      <w:pPr>
        <w:ind w:firstLine="708"/>
        <w:jc w:val="both"/>
        <w:rPr>
          <w:rFonts w:ascii="Arial" w:hAnsi="Arial" w:cs="Arial"/>
        </w:rPr>
      </w:pPr>
      <w:r>
        <w:rPr>
          <w:rFonts w:ascii="Arial" w:hAnsi="Arial" w:cs="Arial"/>
        </w:rPr>
        <w:t xml:space="preserve">O </w:t>
      </w:r>
      <w:r w:rsidRPr="00AC584B">
        <w:rPr>
          <w:rFonts w:ascii="Arial" w:hAnsi="Arial" w:cs="Arial"/>
          <w:b/>
        </w:rPr>
        <w:t>Sindicato da Indústria do Açúcar e do Álcool do Estado de Pernambuco – SINDAÇÚCAR/PE</w:t>
      </w:r>
      <w:r w:rsidR="00D23459">
        <w:rPr>
          <w:rFonts w:ascii="Arial" w:hAnsi="Arial" w:cs="Arial"/>
        </w:rPr>
        <w:t xml:space="preserve">, na qualidade de representante patronal de </w:t>
      </w:r>
      <w:r w:rsidR="002634B0">
        <w:rPr>
          <w:rFonts w:ascii="Arial" w:hAnsi="Arial" w:cs="Arial"/>
        </w:rPr>
        <w:t>dezesseis empresas produtoras de açúcar e álcool do estado de Pernambuco, vem, tempestivamente, pela presente, apresentar suas contribuições à “Tomada Pública de Contribuições nº 0</w:t>
      </w:r>
      <w:r w:rsidR="00AD581E">
        <w:rPr>
          <w:rFonts w:ascii="Arial" w:hAnsi="Arial" w:cs="Arial"/>
        </w:rPr>
        <w:t>4</w:t>
      </w:r>
      <w:r w:rsidR="002634B0">
        <w:rPr>
          <w:rFonts w:ascii="Arial" w:hAnsi="Arial" w:cs="Arial"/>
        </w:rPr>
        <w:t>/2018”</w:t>
      </w:r>
      <w:r w:rsidR="00B47E75">
        <w:rPr>
          <w:rFonts w:ascii="Arial" w:hAnsi="Arial" w:cs="Arial"/>
        </w:rPr>
        <w:t xml:space="preserve"> </w:t>
      </w:r>
      <w:r w:rsidR="00526032">
        <w:rPr>
          <w:rFonts w:ascii="Arial" w:hAnsi="Arial" w:cs="Arial"/>
        </w:rPr>
        <w:t>(“</w:t>
      </w:r>
      <w:r w:rsidR="00B47E75">
        <w:rPr>
          <w:rFonts w:ascii="Arial" w:hAnsi="Arial" w:cs="Arial"/>
        </w:rPr>
        <w:t>TPC</w:t>
      </w:r>
      <w:r w:rsidR="00526032">
        <w:rPr>
          <w:rFonts w:ascii="Arial" w:hAnsi="Arial" w:cs="Arial"/>
        </w:rPr>
        <w:t>”)</w:t>
      </w:r>
      <w:r w:rsidR="002634B0">
        <w:rPr>
          <w:rFonts w:ascii="Arial" w:hAnsi="Arial" w:cs="Arial"/>
        </w:rPr>
        <w:t xml:space="preserve">, </w:t>
      </w:r>
      <w:r w:rsidR="00B47E75">
        <w:rPr>
          <w:rFonts w:ascii="Arial" w:hAnsi="Arial" w:cs="Arial"/>
        </w:rPr>
        <w:t xml:space="preserve">publicada no Diário Oficial da União – DOU, em </w:t>
      </w:r>
      <w:r w:rsidR="00753C07">
        <w:rPr>
          <w:rFonts w:ascii="Arial" w:hAnsi="Arial" w:cs="Arial"/>
        </w:rPr>
        <w:t>20</w:t>
      </w:r>
      <w:r w:rsidR="00B47E75">
        <w:rPr>
          <w:rFonts w:ascii="Arial" w:hAnsi="Arial" w:cs="Arial"/>
        </w:rPr>
        <w:t xml:space="preserve"> de </w:t>
      </w:r>
      <w:r w:rsidR="00753C07">
        <w:rPr>
          <w:rFonts w:ascii="Arial" w:hAnsi="Arial" w:cs="Arial"/>
        </w:rPr>
        <w:t>set</w:t>
      </w:r>
      <w:r w:rsidR="00E54701">
        <w:rPr>
          <w:rFonts w:ascii="Arial" w:hAnsi="Arial" w:cs="Arial"/>
        </w:rPr>
        <w:t>embro</w:t>
      </w:r>
      <w:r w:rsidR="00B47E75">
        <w:rPr>
          <w:rFonts w:ascii="Arial" w:hAnsi="Arial" w:cs="Arial"/>
        </w:rPr>
        <w:t xml:space="preserve"> de 2018, p.</w:t>
      </w:r>
      <w:r w:rsidR="00AD581E">
        <w:rPr>
          <w:rFonts w:ascii="Arial" w:hAnsi="Arial" w:cs="Arial"/>
        </w:rPr>
        <w:t xml:space="preserve"> </w:t>
      </w:r>
      <w:r w:rsidR="00D32099">
        <w:rPr>
          <w:rFonts w:ascii="Arial" w:hAnsi="Arial" w:cs="Arial"/>
        </w:rPr>
        <w:t>86, seção 3</w:t>
      </w:r>
      <w:r w:rsidR="00B1238B">
        <w:rPr>
          <w:rFonts w:ascii="Arial" w:hAnsi="Arial" w:cs="Arial"/>
        </w:rPr>
        <w:t>,</w:t>
      </w:r>
      <w:r w:rsidR="00AD581E">
        <w:rPr>
          <w:rFonts w:ascii="Arial" w:hAnsi="Arial" w:cs="Arial"/>
        </w:rPr>
        <w:t xml:space="preserve"> e cujo prazo </w:t>
      </w:r>
      <w:r w:rsidR="000D74C2">
        <w:rPr>
          <w:rFonts w:ascii="Arial" w:hAnsi="Arial" w:cs="Arial"/>
        </w:rPr>
        <w:t xml:space="preserve">foi estendido para 19 de novembro de 2018, em </w:t>
      </w:r>
      <w:r w:rsidR="000D74C2" w:rsidRPr="00A6722A">
        <w:rPr>
          <w:rFonts w:ascii="Arial" w:hAnsi="Arial" w:cs="Arial"/>
        </w:rPr>
        <w:t>ato</w:t>
      </w:r>
      <w:r w:rsidR="000D74C2">
        <w:rPr>
          <w:rFonts w:ascii="Arial" w:hAnsi="Arial" w:cs="Arial"/>
        </w:rPr>
        <w:t xml:space="preserve"> da ANP</w:t>
      </w:r>
      <w:r w:rsidR="00D32099">
        <w:rPr>
          <w:rFonts w:ascii="Arial" w:hAnsi="Arial" w:cs="Arial"/>
        </w:rPr>
        <w:t xml:space="preserve"> de </w:t>
      </w:r>
      <w:r w:rsidR="00A6722A">
        <w:rPr>
          <w:rFonts w:ascii="Arial" w:hAnsi="Arial" w:cs="Arial"/>
        </w:rPr>
        <w:t>04 de outubro de 2018</w:t>
      </w:r>
      <w:r w:rsidR="00A6722A">
        <w:rPr>
          <w:rStyle w:val="Refdenotaderodap"/>
          <w:rFonts w:ascii="Arial" w:hAnsi="Arial" w:cs="Arial"/>
        </w:rPr>
        <w:footnoteReference w:id="1"/>
      </w:r>
      <w:r w:rsidR="00B47E75">
        <w:rPr>
          <w:rFonts w:ascii="Arial" w:hAnsi="Arial" w:cs="Arial"/>
        </w:rPr>
        <w:t>.</w:t>
      </w:r>
    </w:p>
    <w:p w:rsidR="00B47E75" w:rsidRDefault="00B47E75" w:rsidP="00AC584B">
      <w:pPr>
        <w:jc w:val="both"/>
        <w:rPr>
          <w:rFonts w:ascii="Arial" w:hAnsi="Arial" w:cs="Arial"/>
        </w:rPr>
      </w:pPr>
    </w:p>
    <w:p w:rsidR="00736E8D" w:rsidRDefault="00B47E75" w:rsidP="007C1817">
      <w:pPr>
        <w:ind w:firstLine="708"/>
        <w:jc w:val="both"/>
        <w:rPr>
          <w:rFonts w:ascii="Arial" w:hAnsi="Arial" w:cs="Arial"/>
        </w:rPr>
      </w:pPr>
      <w:r>
        <w:rPr>
          <w:rFonts w:ascii="Arial" w:hAnsi="Arial" w:cs="Arial"/>
        </w:rPr>
        <w:t xml:space="preserve">Antes de </w:t>
      </w:r>
      <w:r w:rsidR="00FF45BA">
        <w:rPr>
          <w:rFonts w:ascii="Arial" w:hAnsi="Arial" w:cs="Arial"/>
        </w:rPr>
        <w:t xml:space="preserve">serem apresentados comentários e </w:t>
      </w:r>
      <w:r w:rsidR="00526032">
        <w:rPr>
          <w:rFonts w:ascii="Arial" w:hAnsi="Arial" w:cs="Arial"/>
        </w:rPr>
        <w:t xml:space="preserve">contribuições do SINDAÇÚCAR/PE à referida TPC, </w:t>
      </w:r>
      <w:r w:rsidR="002A4AD3">
        <w:rPr>
          <w:rFonts w:ascii="Arial" w:hAnsi="Arial" w:cs="Arial"/>
        </w:rPr>
        <w:t>é importante ressaltar a relev</w:t>
      </w:r>
      <w:r w:rsidR="00B45A66">
        <w:rPr>
          <w:rFonts w:ascii="Arial" w:hAnsi="Arial" w:cs="Arial"/>
        </w:rPr>
        <w:t xml:space="preserve">ância </w:t>
      </w:r>
      <w:r w:rsidR="00FF45BA">
        <w:rPr>
          <w:rFonts w:ascii="Arial" w:hAnsi="Arial" w:cs="Arial"/>
        </w:rPr>
        <w:t xml:space="preserve">e importância </w:t>
      </w:r>
      <w:r w:rsidR="00B45A66">
        <w:rPr>
          <w:rFonts w:ascii="Arial" w:hAnsi="Arial" w:cs="Arial"/>
        </w:rPr>
        <w:t>do tema objeto</w:t>
      </w:r>
      <w:r w:rsidR="002A4AD3">
        <w:rPr>
          <w:rFonts w:ascii="Arial" w:hAnsi="Arial" w:cs="Arial"/>
        </w:rPr>
        <w:t xml:space="preserve"> d</w:t>
      </w:r>
      <w:r w:rsidR="00B45A66">
        <w:rPr>
          <w:rFonts w:ascii="Arial" w:hAnsi="Arial" w:cs="Arial"/>
        </w:rPr>
        <w:t>esta consulta</w:t>
      </w:r>
      <w:r w:rsidR="002A4AD3">
        <w:rPr>
          <w:rFonts w:ascii="Arial" w:hAnsi="Arial" w:cs="Arial"/>
        </w:rPr>
        <w:t>,</w:t>
      </w:r>
      <w:r w:rsidR="00E61970">
        <w:rPr>
          <w:rFonts w:ascii="Arial" w:hAnsi="Arial" w:cs="Arial"/>
        </w:rPr>
        <w:t xml:space="preserve"> especialmente neste momento tão sensível à economia nacional, em que toda a sociedade </w:t>
      </w:r>
      <w:r w:rsidR="00736E8D">
        <w:rPr>
          <w:rFonts w:ascii="Arial" w:hAnsi="Arial" w:cs="Arial"/>
        </w:rPr>
        <w:t>urge por preços mais baixos e combustíveis com melhor qualidade</w:t>
      </w:r>
      <w:r w:rsidR="00E61970">
        <w:rPr>
          <w:rFonts w:ascii="Arial" w:hAnsi="Arial" w:cs="Arial"/>
        </w:rPr>
        <w:t xml:space="preserve">. </w:t>
      </w:r>
    </w:p>
    <w:p w:rsidR="00736E8D" w:rsidRDefault="00736E8D" w:rsidP="007C1817">
      <w:pPr>
        <w:ind w:firstLine="708"/>
        <w:jc w:val="both"/>
        <w:rPr>
          <w:rFonts w:ascii="Arial" w:hAnsi="Arial" w:cs="Arial"/>
        </w:rPr>
      </w:pPr>
    </w:p>
    <w:p w:rsidR="00B47E75" w:rsidRDefault="00E61970" w:rsidP="007C1817">
      <w:pPr>
        <w:ind w:firstLine="708"/>
        <w:jc w:val="both"/>
        <w:rPr>
          <w:rFonts w:ascii="Arial" w:hAnsi="Arial" w:cs="Arial"/>
        </w:rPr>
      </w:pPr>
      <w:r>
        <w:rPr>
          <w:rFonts w:ascii="Arial" w:hAnsi="Arial" w:cs="Arial"/>
        </w:rPr>
        <w:t xml:space="preserve">Enaltecemos ainda nesse sentido, </w:t>
      </w:r>
      <w:r w:rsidR="002A4AD3">
        <w:rPr>
          <w:rFonts w:ascii="Arial" w:hAnsi="Arial" w:cs="Arial"/>
        </w:rPr>
        <w:t xml:space="preserve">a iniciativa da Diretoria da Agência Nacional do Petróleo, Gás Natural e Biocombustíveis – ANP de </w:t>
      </w:r>
      <w:r w:rsidR="00B45A66">
        <w:rPr>
          <w:rFonts w:ascii="Arial" w:hAnsi="Arial" w:cs="Arial"/>
        </w:rPr>
        <w:t>abrir</w:t>
      </w:r>
      <w:r w:rsidR="002C55D9">
        <w:rPr>
          <w:rFonts w:ascii="Arial" w:hAnsi="Arial" w:cs="Arial"/>
        </w:rPr>
        <w:t xml:space="preserve"> espa</w:t>
      </w:r>
      <w:r w:rsidR="00B45A66">
        <w:rPr>
          <w:rFonts w:ascii="Arial" w:hAnsi="Arial" w:cs="Arial"/>
        </w:rPr>
        <w:t>ço para o aprofundamento do debate</w:t>
      </w:r>
      <w:r w:rsidR="00AC6D72">
        <w:rPr>
          <w:rFonts w:ascii="Arial" w:hAnsi="Arial" w:cs="Arial"/>
        </w:rPr>
        <w:t xml:space="preserve"> sobre o</w:t>
      </w:r>
      <w:r w:rsidR="008B2C8D">
        <w:rPr>
          <w:rFonts w:ascii="Arial" w:hAnsi="Arial" w:cs="Arial"/>
        </w:rPr>
        <w:t>s</w:t>
      </w:r>
      <w:r w:rsidR="00AC6D72">
        <w:rPr>
          <w:rFonts w:ascii="Arial" w:hAnsi="Arial" w:cs="Arial"/>
        </w:rPr>
        <w:t xml:space="preserve"> impacto</w:t>
      </w:r>
      <w:r w:rsidR="008B2C8D">
        <w:rPr>
          <w:rFonts w:ascii="Arial" w:hAnsi="Arial" w:cs="Arial"/>
        </w:rPr>
        <w:t>s</w:t>
      </w:r>
      <w:r w:rsidR="00AC6D72">
        <w:rPr>
          <w:rFonts w:ascii="Arial" w:hAnsi="Arial" w:cs="Arial"/>
        </w:rPr>
        <w:t xml:space="preserve"> competitivo</w:t>
      </w:r>
      <w:r w:rsidR="008B2C8D">
        <w:rPr>
          <w:rFonts w:ascii="Arial" w:hAnsi="Arial" w:cs="Arial"/>
        </w:rPr>
        <w:t>s</w:t>
      </w:r>
      <w:r w:rsidR="00AC6D72">
        <w:rPr>
          <w:rFonts w:ascii="Arial" w:hAnsi="Arial" w:cs="Arial"/>
        </w:rPr>
        <w:t xml:space="preserve"> e aos consumidores da regra de </w:t>
      </w:r>
      <w:r w:rsidR="00AC6D72" w:rsidRPr="00AC6D72">
        <w:rPr>
          <w:rFonts w:ascii="Arial" w:hAnsi="Arial" w:cs="Arial"/>
          <w:b/>
        </w:rPr>
        <w:t>embandeiramento</w:t>
      </w:r>
      <w:r w:rsidR="00DA79E7">
        <w:rPr>
          <w:rFonts w:ascii="Arial" w:hAnsi="Arial" w:cs="Arial"/>
        </w:rPr>
        <w:t xml:space="preserve">, </w:t>
      </w:r>
      <w:r w:rsidR="00AC6D72">
        <w:rPr>
          <w:rFonts w:ascii="Arial" w:hAnsi="Arial" w:cs="Arial"/>
        </w:rPr>
        <w:t xml:space="preserve">prevista atualmente nas Resoluções ANP nºs </w:t>
      </w:r>
      <w:r w:rsidR="001E6E11" w:rsidRPr="00AE1801">
        <w:rPr>
          <w:rFonts w:ascii="Arial" w:hAnsi="Arial" w:cs="Arial"/>
        </w:rPr>
        <w:t>41/13</w:t>
      </w:r>
      <w:r w:rsidR="00B1238B">
        <w:rPr>
          <w:rFonts w:ascii="Arial" w:hAnsi="Arial" w:cs="Arial"/>
        </w:rPr>
        <w:t xml:space="preserve"> e </w:t>
      </w:r>
      <w:r w:rsidR="001E6E11">
        <w:rPr>
          <w:rFonts w:ascii="Arial" w:hAnsi="Arial" w:cs="Arial"/>
        </w:rPr>
        <w:t>58/14</w:t>
      </w:r>
      <w:r w:rsidR="00DA79E7">
        <w:rPr>
          <w:rFonts w:ascii="Arial" w:hAnsi="Arial" w:cs="Arial"/>
        </w:rPr>
        <w:t xml:space="preserve">, e </w:t>
      </w:r>
      <w:r w:rsidR="00F02C9B">
        <w:rPr>
          <w:rFonts w:ascii="Arial" w:hAnsi="Arial" w:cs="Arial"/>
        </w:rPr>
        <w:t xml:space="preserve">sobre </w:t>
      </w:r>
      <w:r w:rsidR="00DA79E7">
        <w:rPr>
          <w:rFonts w:ascii="Arial" w:hAnsi="Arial" w:cs="Arial"/>
        </w:rPr>
        <w:t xml:space="preserve">os </w:t>
      </w:r>
      <w:r w:rsidR="00DA79E7" w:rsidRPr="00F02C9B">
        <w:rPr>
          <w:rFonts w:ascii="Arial" w:hAnsi="Arial" w:cs="Arial"/>
          <w:b/>
        </w:rPr>
        <w:t>contratos de exclusividade</w:t>
      </w:r>
      <w:r w:rsidR="00A64F8A">
        <w:rPr>
          <w:rFonts w:ascii="Arial" w:hAnsi="Arial" w:cs="Arial"/>
          <w:b/>
        </w:rPr>
        <w:t>,</w:t>
      </w:r>
      <w:r w:rsidR="00DA79E7">
        <w:rPr>
          <w:rFonts w:ascii="Arial" w:hAnsi="Arial" w:cs="Arial"/>
        </w:rPr>
        <w:t xml:space="preserve"> celebrados entre distribuidoras e revendedores </w:t>
      </w:r>
      <w:r w:rsidR="00A64F8A">
        <w:rPr>
          <w:rFonts w:ascii="Arial" w:hAnsi="Arial" w:cs="Arial"/>
        </w:rPr>
        <w:t xml:space="preserve">e aos quais, embora imputamos decorrerem </w:t>
      </w:r>
      <w:r w:rsidR="00DA79E7">
        <w:rPr>
          <w:rFonts w:ascii="Arial" w:hAnsi="Arial" w:cs="Arial"/>
        </w:rPr>
        <w:t>desta regra</w:t>
      </w:r>
      <w:r w:rsidR="00A64F8A">
        <w:rPr>
          <w:rFonts w:ascii="Arial" w:hAnsi="Arial" w:cs="Arial"/>
        </w:rPr>
        <w:t>,</w:t>
      </w:r>
      <w:r w:rsidR="00CA0D47">
        <w:rPr>
          <w:rFonts w:ascii="Arial" w:hAnsi="Arial" w:cs="Arial"/>
        </w:rPr>
        <w:t xml:space="preserve"> l</w:t>
      </w:r>
      <w:r w:rsidR="00CA0D47" w:rsidRPr="00F02C9B">
        <w:rPr>
          <w:rFonts w:ascii="Arial" w:hAnsi="Arial" w:cs="Arial"/>
          <w:u w:val="single"/>
        </w:rPr>
        <w:t>amentavelmente</w:t>
      </w:r>
      <w:r w:rsidR="00CA0D47">
        <w:rPr>
          <w:rFonts w:ascii="Arial" w:hAnsi="Arial" w:cs="Arial"/>
        </w:rPr>
        <w:t xml:space="preserve">, </w:t>
      </w:r>
      <w:r w:rsidR="00CA0D47" w:rsidRPr="00F02C9B">
        <w:rPr>
          <w:rFonts w:ascii="Arial" w:hAnsi="Arial" w:cs="Arial"/>
          <w:b/>
        </w:rPr>
        <w:t>não estão sujeitos à regulação desta agência</w:t>
      </w:r>
      <w:r w:rsidR="00C22497">
        <w:rPr>
          <w:rFonts w:ascii="Arial" w:hAnsi="Arial" w:cs="Arial"/>
        </w:rPr>
        <w:t>.</w:t>
      </w:r>
    </w:p>
    <w:p w:rsidR="00B45A66" w:rsidRDefault="00B45A66" w:rsidP="00AC584B">
      <w:pPr>
        <w:jc w:val="both"/>
        <w:rPr>
          <w:rFonts w:ascii="Arial" w:hAnsi="Arial" w:cs="Arial"/>
        </w:rPr>
      </w:pPr>
    </w:p>
    <w:p w:rsidR="00196F9F" w:rsidRDefault="00B45A66" w:rsidP="00A35066">
      <w:pPr>
        <w:ind w:firstLine="708"/>
        <w:jc w:val="both"/>
        <w:rPr>
          <w:rFonts w:ascii="Arial" w:hAnsi="Arial" w:cs="Arial"/>
        </w:rPr>
      </w:pPr>
      <w:r>
        <w:rPr>
          <w:rFonts w:ascii="Arial" w:hAnsi="Arial" w:cs="Arial"/>
        </w:rPr>
        <w:t xml:space="preserve">Como é de conhecimento notório, o Sindaçúcar/PE </w:t>
      </w:r>
      <w:r w:rsidR="00170A67">
        <w:rPr>
          <w:rFonts w:ascii="Arial" w:hAnsi="Arial" w:cs="Arial"/>
        </w:rPr>
        <w:t xml:space="preserve">tem </w:t>
      </w:r>
      <w:r w:rsidR="003B1A42">
        <w:rPr>
          <w:rFonts w:ascii="Arial" w:hAnsi="Arial" w:cs="Arial"/>
        </w:rPr>
        <w:t xml:space="preserve">há anos </w:t>
      </w:r>
      <w:r w:rsidR="00170A67">
        <w:rPr>
          <w:rFonts w:ascii="Arial" w:hAnsi="Arial" w:cs="Arial"/>
        </w:rPr>
        <w:t xml:space="preserve">levantado </w:t>
      </w:r>
      <w:r w:rsidR="003B1A42">
        <w:rPr>
          <w:rFonts w:ascii="Arial" w:hAnsi="Arial" w:cs="Arial"/>
        </w:rPr>
        <w:t xml:space="preserve">e defendido </w:t>
      </w:r>
      <w:r w:rsidR="00170A67">
        <w:rPr>
          <w:rFonts w:ascii="Arial" w:hAnsi="Arial" w:cs="Arial"/>
        </w:rPr>
        <w:t xml:space="preserve">a bandeira sobre a relevância do etanol de cana-de-açúcar à economia </w:t>
      </w:r>
      <w:r w:rsidR="003B1A42">
        <w:rPr>
          <w:rFonts w:ascii="Arial" w:hAnsi="Arial" w:cs="Arial"/>
        </w:rPr>
        <w:t xml:space="preserve">do País e </w:t>
      </w:r>
      <w:r w:rsidR="00170A67">
        <w:rPr>
          <w:rFonts w:ascii="Arial" w:hAnsi="Arial" w:cs="Arial"/>
        </w:rPr>
        <w:t>da Região Nordeste brasileira</w:t>
      </w:r>
      <w:r w:rsidR="00992298">
        <w:rPr>
          <w:rFonts w:ascii="Arial" w:hAnsi="Arial" w:cs="Arial"/>
        </w:rPr>
        <w:t>. Destarte,</w:t>
      </w:r>
      <w:r w:rsidR="003B1A42">
        <w:rPr>
          <w:rFonts w:ascii="Arial" w:hAnsi="Arial" w:cs="Arial"/>
        </w:rPr>
        <w:t xml:space="preserve"> qualquer medida que vise elevar a sua oferta e demanda, como acredita-se ser </w:t>
      </w:r>
      <w:r w:rsidR="00B03F68">
        <w:rPr>
          <w:rFonts w:ascii="Arial" w:hAnsi="Arial" w:cs="Arial"/>
        </w:rPr>
        <w:t>o</w:t>
      </w:r>
      <w:r w:rsidR="00A35066">
        <w:rPr>
          <w:rFonts w:ascii="Arial" w:hAnsi="Arial" w:cs="Arial"/>
        </w:rPr>
        <w:t xml:space="preserve"> caso da revogação – ou pelo menos da atenuação – da regra de embandeiramento</w:t>
      </w:r>
      <w:r w:rsidR="00B03F68">
        <w:rPr>
          <w:rFonts w:ascii="Arial" w:hAnsi="Arial" w:cs="Arial"/>
        </w:rPr>
        <w:t xml:space="preserve"> </w:t>
      </w:r>
      <w:r w:rsidR="00CA0D47">
        <w:rPr>
          <w:rFonts w:ascii="Arial" w:hAnsi="Arial" w:cs="Arial"/>
        </w:rPr>
        <w:t>e, especialmente, da</w:t>
      </w:r>
      <w:r w:rsidR="00A35066">
        <w:rPr>
          <w:rFonts w:ascii="Arial" w:hAnsi="Arial" w:cs="Arial"/>
        </w:rPr>
        <w:t xml:space="preserve"> exclusividade</w:t>
      </w:r>
      <w:r w:rsidR="00B03F68">
        <w:rPr>
          <w:rFonts w:ascii="Arial" w:hAnsi="Arial" w:cs="Arial"/>
        </w:rPr>
        <w:t xml:space="preserve"> nas relações de fornecimento </w:t>
      </w:r>
      <w:r w:rsidR="00A35066">
        <w:rPr>
          <w:rFonts w:ascii="Arial" w:hAnsi="Arial" w:cs="Arial"/>
        </w:rPr>
        <w:t xml:space="preserve">de combustíveis </w:t>
      </w:r>
      <w:r w:rsidR="00B03F68">
        <w:rPr>
          <w:rFonts w:ascii="Arial" w:hAnsi="Arial" w:cs="Arial"/>
        </w:rPr>
        <w:t>entre distribuidoras e revendedores bandeirados</w:t>
      </w:r>
      <w:r w:rsidR="003B1A42">
        <w:rPr>
          <w:rFonts w:ascii="Arial" w:hAnsi="Arial" w:cs="Arial"/>
        </w:rPr>
        <w:t>, é salutar e extremam</w:t>
      </w:r>
      <w:r w:rsidR="00992298">
        <w:rPr>
          <w:rFonts w:ascii="Arial" w:hAnsi="Arial" w:cs="Arial"/>
        </w:rPr>
        <w:t>ente relevante para o setor, tendo, portanto, a aprovação dos associados do Sindaçúcar/PE.</w:t>
      </w:r>
      <w:r w:rsidR="00933B76">
        <w:rPr>
          <w:rFonts w:ascii="Arial" w:hAnsi="Arial" w:cs="Arial"/>
        </w:rPr>
        <w:t xml:space="preserve"> Conforme será destacado adiante, os </w:t>
      </w:r>
      <w:r w:rsidR="00933B76" w:rsidRPr="002C599A">
        <w:rPr>
          <w:rFonts w:ascii="Arial" w:hAnsi="Arial" w:cs="Arial"/>
          <w:b/>
        </w:rPr>
        <w:t>contratos de exclusividade</w:t>
      </w:r>
      <w:r w:rsidR="00933B76">
        <w:rPr>
          <w:rFonts w:ascii="Arial" w:hAnsi="Arial" w:cs="Arial"/>
        </w:rPr>
        <w:t xml:space="preserve">, </w:t>
      </w:r>
      <w:r w:rsidR="00A22B77">
        <w:rPr>
          <w:rFonts w:ascii="Arial" w:hAnsi="Arial" w:cs="Arial"/>
        </w:rPr>
        <w:t xml:space="preserve">juntamente com a </w:t>
      </w:r>
      <w:r w:rsidR="00A22B77" w:rsidRPr="002C599A">
        <w:rPr>
          <w:rFonts w:ascii="Arial" w:hAnsi="Arial" w:cs="Arial"/>
          <w:b/>
        </w:rPr>
        <w:t>regra que veda a venda direta</w:t>
      </w:r>
      <w:r w:rsidR="00A22B77">
        <w:rPr>
          <w:rFonts w:ascii="Arial" w:hAnsi="Arial" w:cs="Arial"/>
        </w:rPr>
        <w:t>,</w:t>
      </w:r>
      <w:r w:rsidR="00933B76">
        <w:rPr>
          <w:rFonts w:ascii="Arial" w:hAnsi="Arial" w:cs="Arial"/>
        </w:rPr>
        <w:t xml:space="preserve"> têm </w:t>
      </w:r>
      <w:r w:rsidR="00933B76">
        <w:rPr>
          <w:rFonts w:ascii="Arial" w:hAnsi="Arial" w:cs="Arial"/>
        </w:rPr>
        <w:lastRenderedPageBreak/>
        <w:t xml:space="preserve">demonstrado serem </w:t>
      </w:r>
      <w:r w:rsidR="00933B76" w:rsidRPr="002C599A">
        <w:rPr>
          <w:rFonts w:ascii="Arial" w:hAnsi="Arial" w:cs="Arial"/>
          <w:b/>
        </w:rPr>
        <w:t>grande</w:t>
      </w:r>
      <w:r w:rsidR="002C599A">
        <w:rPr>
          <w:rFonts w:ascii="Arial" w:hAnsi="Arial" w:cs="Arial"/>
          <w:b/>
        </w:rPr>
        <w:t>s</w:t>
      </w:r>
      <w:r w:rsidR="00933B76" w:rsidRPr="002C599A">
        <w:rPr>
          <w:rFonts w:ascii="Arial" w:hAnsi="Arial" w:cs="Arial"/>
          <w:b/>
        </w:rPr>
        <w:t xml:space="preserve"> barreira</w:t>
      </w:r>
      <w:r w:rsidR="002C599A">
        <w:rPr>
          <w:rFonts w:ascii="Arial" w:hAnsi="Arial" w:cs="Arial"/>
          <w:b/>
        </w:rPr>
        <w:t>s</w:t>
      </w:r>
      <w:r w:rsidR="00933B76" w:rsidRPr="002C599A">
        <w:rPr>
          <w:rFonts w:ascii="Arial" w:hAnsi="Arial" w:cs="Arial"/>
          <w:b/>
        </w:rPr>
        <w:t xml:space="preserve"> à entrada</w:t>
      </w:r>
      <w:r w:rsidR="00933B76">
        <w:rPr>
          <w:rFonts w:ascii="Arial" w:hAnsi="Arial" w:cs="Arial"/>
        </w:rPr>
        <w:t xml:space="preserve"> de novos ofertantes de combustíveis</w:t>
      </w:r>
      <w:r w:rsidR="002C599A">
        <w:rPr>
          <w:rFonts w:ascii="Arial" w:hAnsi="Arial" w:cs="Arial"/>
        </w:rPr>
        <w:t>;</w:t>
      </w:r>
      <w:r w:rsidR="00933B76">
        <w:rPr>
          <w:rFonts w:ascii="Arial" w:hAnsi="Arial" w:cs="Arial"/>
        </w:rPr>
        <w:t xml:space="preserve"> e, principalmente, </w:t>
      </w:r>
      <w:r w:rsidR="00933B76" w:rsidRPr="002C599A">
        <w:rPr>
          <w:rFonts w:ascii="Arial" w:hAnsi="Arial" w:cs="Arial"/>
          <w:b/>
        </w:rPr>
        <w:t xml:space="preserve">à elevação </w:t>
      </w:r>
      <w:r w:rsidR="00A22B77" w:rsidRPr="002C599A">
        <w:rPr>
          <w:rFonts w:ascii="Arial" w:hAnsi="Arial" w:cs="Arial"/>
          <w:b/>
        </w:rPr>
        <w:t>da oferta e consumo de etanol hidratado no país</w:t>
      </w:r>
      <w:r w:rsidR="00A22B77">
        <w:rPr>
          <w:rFonts w:ascii="Arial" w:hAnsi="Arial" w:cs="Arial"/>
        </w:rPr>
        <w:t>.</w:t>
      </w:r>
    </w:p>
    <w:p w:rsidR="00196F9F" w:rsidRDefault="00196F9F" w:rsidP="00AC584B">
      <w:pPr>
        <w:jc w:val="both"/>
        <w:rPr>
          <w:rFonts w:ascii="Arial" w:hAnsi="Arial" w:cs="Arial"/>
        </w:rPr>
      </w:pPr>
    </w:p>
    <w:p w:rsidR="005E0044" w:rsidRPr="00B73D3F" w:rsidRDefault="00992298" w:rsidP="007C1817">
      <w:pPr>
        <w:ind w:firstLine="708"/>
        <w:jc w:val="both"/>
        <w:rPr>
          <w:rFonts w:ascii="Arial" w:hAnsi="Arial" w:cs="Arial"/>
          <w:highlight w:val="red"/>
        </w:rPr>
      </w:pPr>
      <w:r>
        <w:rPr>
          <w:rFonts w:ascii="Arial" w:hAnsi="Arial" w:cs="Arial"/>
        </w:rPr>
        <w:t>H</w:t>
      </w:r>
      <w:r w:rsidR="00196F9F">
        <w:rPr>
          <w:rFonts w:ascii="Arial" w:hAnsi="Arial" w:cs="Arial"/>
        </w:rPr>
        <w:t>á</w:t>
      </w:r>
      <w:r>
        <w:rPr>
          <w:rFonts w:ascii="Arial" w:hAnsi="Arial" w:cs="Arial"/>
        </w:rPr>
        <w:t>, atualmente,</w:t>
      </w:r>
      <w:r w:rsidR="00196F9F">
        <w:rPr>
          <w:rFonts w:ascii="Arial" w:hAnsi="Arial" w:cs="Arial"/>
        </w:rPr>
        <w:t xml:space="preserve"> no </w:t>
      </w:r>
      <w:r>
        <w:rPr>
          <w:rFonts w:ascii="Arial" w:hAnsi="Arial" w:cs="Arial"/>
        </w:rPr>
        <w:t>País</w:t>
      </w:r>
      <w:r w:rsidR="00196F9F">
        <w:rPr>
          <w:rFonts w:ascii="Arial" w:hAnsi="Arial" w:cs="Arial"/>
        </w:rPr>
        <w:t xml:space="preserve"> cerca de 365 usinas produtoras de açúcar e </w:t>
      </w:r>
      <w:r w:rsidR="007B7578">
        <w:rPr>
          <w:rFonts w:ascii="Arial" w:hAnsi="Arial" w:cs="Arial"/>
        </w:rPr>
        <w:t xml:space="preserve">álcool. A produção </w:t>
      </w:r>
      <w:r w:rsidR="006118D7">
        <w:rPr>
          <w:rFonts w:ascii="Arial" w:hAnsi="Arial" w:cs="Arial"/>
        </w:rPr>
        <w:t>sucroalcooleira brasileira</w:t>
      </w:r>
      <w:r w:rsidR="007B7578">
        <w:rPr>
          <w:rFonts w:ascii="Arial" w:hAnsi="Arial" w:cs="Arial"/>
        </w:rPr>
        <w:t xml:space="preserve"> gerou</w:t>
      </w:r>
      <w:r w:rsidR="006118D7">
        <w:rPr>
          <w:rFonts w:ascii="Arial" w:hAnsi="Arial" w:cs="Arial"/>
        </w:rPr>
        <w:t>,</w:t>
      </w:r>
      <w:r w:rsidR="007B7578">
        <w:rPr>
          <w:rFonts w:ascii="Arial" w:hAnsi="Arial" w:cs="Arial"/>
        </w:rPr>
        <w:t xml:space="preserve"> na safra de 2016-2017</w:t>
      </w:r>
      <w:r w:rsidR="006118D7">
        <w:rPr>
          <w:rFonts w:ascii="Arial" w:hAnsi="Arial" w:cs="Arial"/>
        </w:rPr>
        <w:t>,</w:t>
      </w:r>
      <w:r w:rsidR="007B7578">
        <w:rPr>
          <w:rFonts w:ascii="Arial" w:hAnsi="Arial" w:cs="Arial"/>
        </w:rPr>
        <w:t xml:space="preserve"> uma receita de aproximadamente</w:t>
      </w:r>
      <w:r w:rsidR="001E456A">
        <w:rPr>
          <w:rFonts w:ascii="Arial" w:hAnsi="Arial" w:cs="Arial"/>
        </w:rPr>
        <w:t xml:space="preserve"> R$ 98 bi</w:t>
      </w:r>
      <w:r w:rsidR="007B7578">
        <w:rPr>
          <w:rFonts w:ascii="Arial" w:hAnsi="Arial" w:cs="Arial"/>
        </w:rPr>
        <w:t xml:space="preserve">lhões, </w:t>
      </w:r>
      <w:r w:rsidR="001E456A">
        <w:rPr>
          <w:rFonts w:ascii="Arial" w:hAnsi="Arial" w:cs="Arial"/>
        </w:rPr>
        <w:t xml:space="preserve">sendo </w:t>
      </w:r>
      <w:r w:rsidR="006118D7">
        <w:rPr>
          <w:rFonts w:ascii="Arial" w:hAnsi="Arial" w:cs="Arial"/>
        </w:rPr>
        <w:t>o segundo</w:t>
      </w:r>
      <w:r w:rsidR="001E456A">
        <w:rPr>
          <w:rFonts w:ascii="Arial" w:hAnsi="Arial" w:cs="Arial"/>
        </w:rPr>
        <w:t xml:space="preserve"> setor agropecuário mais importante</w:t>
      </w:r>
      <w:r w:rsidR="005E0044">
        <w:rPr>
          <w:rFonts w:ascii="Arial" w:hAnsi="Arial" w:cs="Arial"/>
        </w:rPr>
        <w:t xml:space="preserve"> para a balança comercial brasileira, perdendo apenas para a soja. O Brasil é atu</w:t>
      </w:r>
      <w:r w:rsidR="005E0044" w:rsidRPr="00621454">
        <w:rPr>
          <w:rFonts w:ascii="Arial" w:hAnsi="Arial" w:cs="Arial"/>
        </w:rPr>
        <w:t xml:space="preserve">almente o segundo maior produtor e exportador mundial de </w:t>
      </w:r>
      <w:r w:rsidR="006118D7" w:rsidRPr="00DD4AA3">
        <w:rPr>
          <w:rFonts w:ascii="Arial" w:hAnsi="Arial" w:cs="Arial"/>
        </w:rPr>
        <w:t>etanol e</w:t>
      </w:r>
      <w:r w:rsidR="00D913F1" w:rsidRPr="00621454">
        <w:rPr>
          <w:rFonts w:ascii="Arial" w:hAnsi="Arial" w:cs="Arial"/>
        </w:rPr>
        <w:t xml:space="preserve"> o primeiro produtor e exportador de açúcar. </w:t>
      </w:r>
      <w:r w:rsidR="00D913F1" w:rsidRPr="006266DF">
        <w:rPr>
          <w:rFonts w:ascii="Arial" w:hAnsi="Arial" w:cs="Arial"/>
        </w:rPr>
        <w:t xml:space="preserve">O setor </w:t>
      </w:r>
      <w:r w:rsidR="00903F6C" w:rsidRPr="006266DF">
        <w:rPr>
          <w:rFonts w:ascii="Arial" w:hAnsi="Arial" w:cs="Arial"/>
        </w:rPr>
        <w:t>é responsável pela geração de quase 800 mil postos de trabalhos diretos</w:t>
      </w:r>
      <w:r w:rsidR="00621454" w:rsidRPr="006266DF">
        <w:rPr>
          <w:rFonts w:ascii="Arial" w:hAnsi="Arial" w:cs="Arial"/>
        </w:rPr>
        <w:t xml:space="preserve"> e cerca de 3 milhões de empregos indiretos</w:t>
      </w:r>
      <w:r w:rsidR="00903F6C" w:rsidRPr="006266DF">
        <w:rPr>
          <w:rFonts w:ascii="Arial" w:hAnsi="Arial" w:cs="Arial"/>
        </w:rPr>
        <w:t>.</w:t>
      </w:r>
    </w:p>
    <w:p w:rsidR="006118D7" w:rsidRPr="00BE2D50" w:rsidRDefault="006118D7" w:rsidP="00AC584B">
      <w:pPr>
        <w:jc w:val="both"/>
        <w:rPr>
          <w:rFonts w:ascii="Arial" w:hAnsi="Arial" w:cs="Arial"/>
        </w:rPr>
      </w:pPr>
    </w:p>
    <w:p w:rsidR="003831B9" w:rsidRDefault="00895B40" w:rsidP="007C1817">
      <w:pPr>
        <w:ind w:firstLine="708"/>
        <w:jc w:val="both"/>
        <w:rPr>
          <w:rFonts w:ascii="Arial" w:hAnsi="Arial" w:cs="Arial"/>
        </w:rPr>
      </w:pPr>
      <w:r w:rsidRPr="00BE2D50">
        <w:rPr>
          <w:rFonts w:ascii="Arial" w:hAnsi="Arial" w:cs="Arial"/>
        </w:rPr>
        <w:t>O etanol</w:t>
      </w:r>
      <w:r w:rsidR="00C86A84" w:rsidRPr="00BE2D50">
        <w:rPr>
          <w:rFonts w:ascii="Arial" w:hAnsi="Arial" w:cs="Arial"/>
        </w:rPr>
        <w:t xml:space="preserve"> é </w:t>
      </w:r>
      <w:r w:rsidR="003F7950" w:rsidRPr="00BE2D50">
        <w:rPr>
          <w:rFonts w:ascii="Arial" w:hAnsi="Arial" w:cs="Arial"/>
        </w:rPr>
        <w:t xml:space="preserve">ainda </w:t>
      </w:r>
      <w:r w:rsidRPr="00BE2D50">
        <w:rPr>
          <w:rFonts w:ascii="Arial" w:hAnsi="Arial" w:cs="Arial"/>
        </w:rPr>
        <w:t xml:space="preserve">a </w:t>
      </w:r>
      <w:r w:rsidR="00C86A84" w:rsidRPr="00BE2D50">
        <w:rPr>
          <w:rFonts w:ascii="Arial" w:hAnsi="Arial" w:cs="Arial"/>
        </w:rPr>
        <w:t>primeira fonte de energia renovável</w:t>
      </w:r>
      <w:r w:rsidR="003F7950" w:rsidRPr="00BE2D50">
        <w:rPr>
          <w:rFonts w:ascii="Arial" w:hAnsi="Arial" w:cs="Arial"/>
        </w:rPr>
        <w:t xml:space="preserve"> do País</w:t>
      </w:r>
      <w:r w:rsidR="00C86A84" w:rsidRPr="00BE2D50">
        <w:rPr>
          <w:rFonts w:ascii="Arial" w:hAnsi="Arial" w:cs="Arial"/>
        </w:rPr>
        <w:t>, superando, inclusive, a hidrelétrica</w:t>
      </w:r>
      <w:r w:rsidR="009D3297" w:rsidRPr="00BE2D50">
        <w:rPr>
          <w:rFonts w:ascii="Arial" w:hAnsi="Arial" w:cs="Arial"/>
        </w:rPr>
        <w:t>, porém perdendo para os combustíveis derivados do petróleo</w:t>
      </w:r>
      <w:r w:rsidR="00C86A84" w:rsidRPr="00BE2D50">
        <w:rPr>
          <w:rFonts w:ascii="Arial" w:hAnsi="Arial" w:cs="Arial"/>
        </w:rPr>
        <w:t>.</w:t>
      </w:r>
    </w:p>
    <w:p w:rsidR="003831B9" w:rsidRDefault="003831B9" w:rsidP="00AC584B">
      <w:pPr>
        <w:jc w:val="both"/>
        <w:rPr>
          <w:rFonts w:ascii="Arial" w:hAnsi="Arial" w:cs="Arial"/>
        </w:rPr>
      </w:pPr>
    </w:p>
    <w:p w:rsidR="000A30CF" w:rsidRDefault="003831B9" w:rsidP="007C1817">
      <w:pPr>
        <w:ind w:firstLine="708"/>
        <w:jc w:val="both"/>
        <w:rPr>
          <w:rFonts w:ascii="Arial" w:hAnsi="Arial" w:cs="Arial"/>
        </w:rPr>
      </w:pPr>
      <w:r>
        <w:rPr>
          <w:rFonts w:ascii="Arial" w:hAnsi="Arial" w:cs="Arial"/>
        </w:rPr>
        <w:t>Embora o</w:t>
      </w:r>
      <w:r w:rsidR="005B00DB">
        <w:rPr>
          <w:rFonts w:ascii="Arial" w:hAnsi="Arial" w:cs="Arial"/>
        </w:rPr>
        <w:t xml:space="preserve"> Brasil seja um grande produtor mundial de etanol de cana-de-aç</w:t>
      </w:r>
      <w:r w:rsidR="00CD2B3A">
        <w:rPr>
          <w:rFonts w:ascii="Arial" w:hAnsi="Arial" w:cs="Arial"/>
        </w:rPr>
        <w:t xml:space="preserve">úcar, atualmente este combustível representa </w:t>
      </w:r>
      <w:r w:rsidR="00CD2B3A" w:rsidRPr="00A828BA">
        <w:rPr>
          <w:rFonts w:ascii="Arial" w:hAnsi="Arial" w:cs="Arial"/>
          <w:b/>
        </w:rPr>
        <w:t>apenas</w:t>
      </w:r>
      <w:r w:rsidR="00CD2B3A">
        <w:rPr>
          <w:rFonts w:ascii="Arial" w:hAnsi="Arial" w:cs="Arial"/>
        </w:rPr>
        <w:t xml:space="preserve"> 17,5% de sua matriz energética brasileira</w:t>
      </w:r>
      <w:r w:rsidR="000A30CF">
        <w:rPr>
          <w:rFonts w:ascii="Arial" w:hAnsi="Arial" w:cs="Arial"/>
        </w:rPr>
        <w:t xml:space="preserve">, mesmo com o incremento da frota flex de veículos de passeio e pequenos utilitários nos últimos anos. </w:t>
      </w:r>
    </w:p>
    <w:p w:rsidR="000A30CF" w:rsidRDefault="000A30CF" w:rsidP="00AC584B">
      <w:pPr>
        <w:jc w:val="both"/>
        <w:rPr>
          <w:rFonts w:ascii="Arial" w:hAnsi="Arial" w:cs="Arial"/>
        </w:rPr>
      </w:pPr>
    </w:p>
    <w:p w:rsidR="00E64838" w:rsidRDefault="00ED4A27" w:rsidP="003D18D6">
      <w:pPr>
        <w:ind w:firstLine="708"/>
        <w:jc w:val="both"/>
        <w:rPr>
          <w:rFonts w:ascii="Arial" w:hAnsi="Arial" w:cs="Arial"/>
        </w:rPr>
      </w:pPr>
      <w:r>
        <w:rPr>
          <w:rFonts w:ascii="Arial" w:hAnsi="Arial" w:cs="Arial"/>
        </w:rPr>
        <w:t xml:space="preserve">O etanol da cana-de-açúcar é ainda relevante para o país por ser </w:t>
      </w:r>
      <w:r w:rsidR="000E30FB">
        <w:rPr>
          <w:rFonts w:ascii="Arial" w:hAnsi="Arial" w:cs="Arial"/>
        </w:rPr>
        <w:t xml:space="preserve">uma fonte energética limpa, trazendo grandes benefícios em termos ambientais, se comparado com os combustíveis derivados de petróleo, como a gasolina C e o diesel, </w:t>
      </w:r>
      <w:r w:rsidR="005B00DB">
        <w:rPr>
          <w:rFonts w:ascii="Arial" w:hAnsi="Arial" w:cs="Arial"/>
        </w:rPr>
        <w:t>ou mesmo com outros tipos de etanol, como</w:t>
      </w:r>
      <w:r w:rsidR="006D18ED">
        <w:rPr>
          <w:rFonts w:ascii="Arial" w:hAnsi="Arial" w:cs="Arial"/>
        </w:rPr>
        <w:t xml:space="preserve"> aquele</w:t>
      </w:r>
      <w:r w:rsidR="005B00DB">
        <w:rPr>
          <w:rFonts w:ascii="Arial" w:hAnsi="Arial" w:cs="Arial"/>
        </w:rPr>
        <w:t xml:space="preserve"> de milho</w:t>
      </w:r>
      <w:r w:rsidR="00A64F8A">
        <w:rPr>
          <w:rStyle w:val="Refdenotaderodap"/>
          <w:rFonts w:ascii="Arial" w:hAnsi="Arial" w:cs="Arial"/>
        </w:rPr>
        <w:footnoteReference w:id="2"/>
      </w:r>
      <w:r w:rsidR="006D18ED">
        <w:rPr>
          <w:rFonts w:ascii="Arial" w:hAnsi="Arial" w:cs="Arial"/>
        </w:rPr>
        <w:t xml:space="preserve"> que vem sendo importado e utilizado pelas distribuidoras na mistura e elaboração de sua gasolina C</w:t>
      </w:r>
      <w:r w:rsidR="000026A9">
        <w:rPr>
          <w:rFonts w:ascii="Arial" w:hAnsi="Arial" w:cs="Arial"/>
        </w:rPr>
        <w:t>.</w:t>
      </w:r>
      <w:r>
        <w:rPr>
          <w:rFonts w:ascii="Arial" w:hAnsi="Arial" w:cs="Arial"/>
        </w:rPr>
        <w:t xml:space="preserve"> Apenas</w:t>
      </w:r>
      <w:r w:rsidR="003D18D6">
        <w:rPr>
          <w:rFonts w:ascii="Arial" w:hAnsi="Arial" w:cs="Arial"/>
        </w:rPr>
        <w:t xml:space="preserve"> para ilustrar a importância ambiental do etanol</w:t>
      </w:r>
      <w:r>
        <w:rPr>
          <w:rFonts w:ascii="Arial" w:hAnsi="Arial" w:cs="Arial"/>
        </w:rPr>
        <w:t>,</w:t>
      </w:r>
      <w:r w:rsidR="003D18D6" w:rsidRPr="003D18D6">
        <w:rPr>
          <w:rFonts w:ascii="Arial" w:hAnsi="Arial" w:cs="Arial"/>
        </w:rPr>
        <w:t xml:space="preserve"> </w:t>
      </w:r>
      <w:r w:rsidR="003D18D6">
        <w:rPr>
          <w:rFonts w:ascii="Arial" w:hAnsi="Arial" w:cs="Arial"/>
        </w:rPr>
        <w:t xml:space="preserve">no período entre 2003 e 2007, </w:t>
      </w:r>
      <w:r>
        <w:rPr>
          <w:rFonts w:ascii="Arial" w:hAnsi="Arial" w:cs="Arial"/>
        </w:rPr>
        <w:t xml:space="preserve">o </w:t>
      </w:r>
      <w:r w:rsidR="00566D12">
        <w:rPr>
          <w:rFonts w:ascii="Arial" w:hAnsi="Arial" w:cs="Arial"/>
        </w:rPr>
        <w:t xml:space="preserve">consumo do </w:t>
      </w:r>
      <w:r>
        <w:rPr>
          <w:rFonts w:ascii="Arial" w:hAnsi="Arial" w:cs="Arial"/>
        </w:rPr>
        <w:t xml:space="preserve">etanol </w:t>
      </w:r>
      <w:r w:rsidR="00566D12">
        <w:rPr>
          <w:rFonts w:ascii="Arial" w:hAnsi="Arial" w:cs="Arial"/>
        </w:rPr>
        <w:t xml:space="preserve">hidratado </w:t>
      </w:r>
      <w:r w:rsidR="003D18D6">
        <w:rPr>
          <w:rFonts w:ascii="Arial" w:hAnsi="Arial" w:cs="Arial"/>
        </w:rPr>
        <w:t xml:space="preserve">no país </w:t>
      </w:r>
      <w:r w:rsidR="00566D12">
        <w:rPr>
          <w:rFonts w:ascii="Arial" w:hAnsi="Arial" w:cs="Arial"/>
        </w:rPr>
        <w:t xml:space="preserve">permitiu </w:t>
      </w:r>
      <w:r w:rsidR="003728BE">
        <w:rPr>
          <w:rFonts w:ascii="Arial" w:hAnsi="Arial" w:cs="Arial"/>
        </w:rPr>
        <w:t>a r</w:t>
      </w:r>
      <w:r w:rsidR="003F7950">
        <w:rPr>
          <w:rFonts w:ascii="Arial" w:hAnsi="Arial" w:cs="Arial"/>
        </w:rPr>
        <w:t xml:space="preserve">edução de 400 milhões de </w:t>
      </w:r>
      <w:r w:rsidR="00621454">
        <w:rPr>
          <w:rFonts w:ascii="Arial" w:hAnsi="Arial" w:cs="Arial"/>
        </w:rPr>
        <w:t xml:space="preserve">toneladas de </w:t>
      </w:r>
      <w:r w:rsidR="003F7950">
        <w:rPr>
          <w:rFonts w:ascii="Arial" w:hAnsi="Arial" w:cs="Arial"/>
        </w:rPr>
        <w:t>CO2eq.</w:t>
      </w:r>
      <w:r w:rsidR="003728BE">
        <w:rPr>
          <w:rFonts w:ascii="Arial" w:hAnsi="Arial" w:cs="Arial"/>
        </w:rPr>
        <w:t xml:space="preserve"> </w:t>
      </w:r>
      <w:r w:rsidR="003D18D6">
        <w:rPr>
          <w:rFonts w:ascii="Arial" w:hAnsi="Arial" w:cs="Arial"/>
        </w:rPr>
        <w:t xml:space="preserve">Isso </w:t>
      </w:r>
      <w:r w:rsidR="003728BE">
        <w:rPr>
          <w:rFonts w:ascii="Arial" w:hAnsi="Arial" w:cs="Arial"/>
        </w:rPr>
        <w:t xml:space="preserve">representa, em termos de ordem de grandeza, </w:t>
      </w:r>
      <w:r w:rsidR="00EF5A98">
        <w:rPr>
          <w:rFonts w:ascii="Arial" w:hAnsi="Arial" w:cs="Arial"/>
        </w:rPr>
        <w:t>o equivalente à</w:t>
      </w:r>
      <w:r w:rsidR="003728BE">
        <w:rPr>
          <w:rFonts w:ascii="Arial" w:hAnsi="Arial" w:cs="Arial"/>
        </w:rPr>
        <w:t xml:space="preserve"> emissão de </w:t>
      </w:r>
      <w:r w:rsidR="00EF5A98">
        <w:rPr>
          <w:rFonts w:ascii="Arial" w:hAnsi="Arial" w:cs="Arial"/>
        </w:rPr>
        <w:t xml:space="preserve">CO2eq. do </w:t>
      </w:r>
      <w:r w:rsidR="003728BE">
        <w:rPr>
          <w:rFonts w:ascii="Arial" w:hAnsi="Arial" w:cs="Arial"/>
        </w:rPr>
        <w:t xml:space="preserve">Chile </w:t>
      </w:r>
      <w:r w:rsidR="00EF5A98">
        <w:rPr>
          <w:rFonts w:ascii="Arial" w:hAnsi="Arial" w:cs="Arial"/>
        </w:rPr>
        <w:t>de 5 anos</w:t>
      </w:r>
      <w:r w:rsidR="003D18D6">
        <w:rPr>
          <w:rFonts w:ascii="Arial" w:hAnsi="Arial" w:cs="Arial"/>
        </w:rPr>
        <w:t>,</w:t>
      </w:r>
      <w:r w:rsidR="00EF5A98">
        <w:rPr>
          <w:rFonts w:ascii="Arial" w:hAnsi="Arial" w:cs="Arial"/>
        </w:rPr>
        <w:t xml:space="preserve"> ou de Portugal</w:t>
      </w:r>
      <w:r w:rsidR="00E61970">
        <w:rPr>
          <w:rFonts w:ascii="Arial" w:hAnsi="Arial" w:cs="Arial"/>
        </w:rPr>
        <w:t>, de</w:t>
      </w:r>
      <w:r w:rsidR="003F7950">
        <w:rPr>
          <w:rFonts w:ascii="Arial" w:hAnsi="Arial" w:cs="Arial"/>
        </w:rPr>
        <w:t xml:space="preserve"> 8 anos, comparando</w:t>
      </w:r>
      <w:r w:rsidR="00EF5A98">
        <w:rPr>
          <w:rFonts w:ascii="Arial" w:hAnsi="Arial" w:cs="Arial"/>
        </w:rPr>
        <w:t xml:space="preserve"> os dados de 2012. </w:t>
      </w:r>
    </w:p>
    <w:p w:rsidR="00E64838" w:rsidRDefault="00E64838" w:rsidP="00AC584B">
      <w:pPr>
        <w:jc w:val="both"/>
        <w:rPr>
          <w:rFonts w:ascii="Arial" w:hAnsi="Arial" w:cs="Arial"/>
        </w:rPr>
      </w:pPr>
    </w:p>
    <w:p w:rsidR="00B45A66" w:rsidRDefault="00EF5A98" w:rsidP="007C1817">
      <w:pPr>
        <w:ind w:firstLine="708"/>
        <w:jc w:val="both"/>
        <w:rPr>
          <w:rFonts w:ascii="Arial" w:hAnsi="Arial" w:cs="Arial"/>
        </w:rPr>
      </w:pPr>
      <w:r>
        <w:rPr>
          <w:rFonts w:ascii="Arial" w:hAnsi="Arial" w:cs="Arial"/>
        </w:rPr>
        <w:t xml:space="preserve">Além disso, o consumo de etanol hidratado no país também </w:t>
      </w:r>
      <w:r w:rsidR="00E64838">
        <w:rPr>
          <w:rFonts w:ascii="Arial" w:hAnsi="Arial" w:cs="Arial"/>
        </w:rPr>
        <w:t>garantiu economias na importação de gasolina da ordem de US$ 4</w:t>
      </w:r>
      <w:r w:rsidR="00DD3E80">
        <w:rPr>
          <w:rFonts w:ascii="Arial" w:hAnsi="Arial" w:cs="Arial"/>
        </w:rPr>
        <w:t>12</w:t>
      </w:r>
      <w:r w:rsidR="00E64838">
        <w:rPr>
          <w:rFonts w:ascii="Arial" w:hAnsi="Arial" w:cs="Arial"/>
        </w:rPr>
        <w:t xml:space="preserve"> bilhões, e</w:t>
      </w:r>
      <w:r w:rsidR="00DD3E80">
        <w:rPr>
          <w:rFonts w:ascii="Arial" w:hAnsi="Arial" w:cs="Arial"/>
        </w:rPr>
        <w:t>ntre 1975 e 2016</w:t>
      </w:r>
      <w:r w:rsidR="00E64838">
        <w:rPr>
          <w:rFonts w:ascii="Arial" w:hAnsi="Arial" w:cs="Arial"/>
        </w:rPr>
        <w:t>.</w:t>
      </w:r>
    </w:p>
    <w:p w:rsidR="00021B4E" w:rsidRDefault="00021B4E" w:rsidP="00E64838">
      <w:pPr>
        <w:jc w:val="both"/>
        <w:rPr>
          <w:rFonts w:ascii="Arial" w:hAnsi="Arial" w:cs="Arial"/>
        </w:rPr>
      </w:pPr>
    </w:p>
    <w:p w:rsidR="00C3484A" w:rsidRDefault="0018614C" w:rsidP="00880DB9">
      <w:pPr>
        <w:ind w:firstLine="708"/>
        <w:jc w:val="both"/>
        <w:rPr>
          <w:rFonts w:ascii="Arial" w:hAnsi="Arial" w:cs="Arial"/>
        </w:rPr>
      </w:pPr>
      <w:r>
        <w:rPr>
          <w:rFonts w:ascii="Arial" w:hAnsi="Arial" w:cs="Arial"/>
        </w:rPr>
        <w:t>Est</w:t>
      </w:r>
      <w:r w:rsidR="00021B4E">
        <w:rPr>
          <w:rFonts w:ascii="Arial" w:hAnsi="Arial" w:cs="Arial"/>
        </w:rPr>
        <w:t xml:space="preserve">es </w:t>
      </w:r>
      <w:r>
        <w:rPr>
          <w:rFonts w:ascii="Arial" w:hAnsi="Arial" w:cs="Arial"/>
        </w:rPr>
        <w:t xml:space="preserve">e outros </w:t>
      </w:r>
      <w:r w:rsidR="00021B4E">
        <w:rPr>
          <w:rFonts w:ascii="Arial" w:hAnsi="Arial" w:cs="Arial"/>
        </w:rPr>
        <w:t>dados macroeconômicos e de proteção ambiental</w:t>
      </w:r>
      <w:r w:rsidR="00880DB9">
        <w:rPr>
          <w:rFonts w:ascii="Arial" w:hAnsi="Arial" w:cs="Arial"/>
        </w:rPr>
        <w:t>,</w:t>
      </w:r>
      <w:r w:rsidR="00021B4E">
        <w:rPr>
          <w:rFonts w:ascii="Arial" w:hAnsi="Arial" w:cs="Arial"/>
        </w:rPr>
        <w:t xml:space="preserve"> </w:t>
      </w:r>
      <w:r>
        <w:rPr>
          <w:rFonts w:ascii="Arial" w:hAnsi="Arial" w:cs="Arial"/>
        </w:rPr>
        <w:t>que podem e merecem ser levantados e</w:t>
      </w:r>
      <w:r w:rsidR="00C80BE1">
        <w:rPr>
          <w:rFonts w:ascii="Arial" w:hAnsi="Arial" w:cs="Arial"/>
        </w:rPr>
        <w:t xml:space="preserve"> analisados de forma mais acurada pelos responsáveis pela avaliação da proposta ora sob consulta</w:t>
      </w:r>
      <w:r w:rsidR="00880DB9">
        <w:rPr>
          <w:rFonts w:ascii="Arial" w:hAnsi="Arial" w:cs="Arial"/>
        </w:rPr>
        <w:t>,</w:t>
      </w:r>
      <w:r>
        <w:rPr>
          <w:rFonts w:ascii="Arial" w:hAnsi="Arial" w:cs="Arial"/>
        </w:rPr>
        <w:t xml:space="preserve"> </w:t>
      </w:r>
      <w:r w:rsidR="00917D02">
        <w:rPr>
          <w:rFonts w:ascii="Arial" w:hAnsi="Arial" w:cs="Arial"/>
        </w:rPr>
        <w:t>demonstram</w:t>
      </w:r>
      <w:r>
        <w:rPr>
          <w:rFonts w:ascii="Arial" w:hAnsi="Arial" w:cs="Arial"/>
        </w:rPr>
        <w:t>, não somente a importância do etanol</w:t>
      </w:r>
      <w:r w:rsidR="00880DB9">
        <w:rPr>
          <w:rFonts w:ascii="Arial" w:hAnsi="Arial" w:cs="Arial"/>
        </w:rPr>
        <w:t xml:space="preserve"> como matriz energética para o P</w:t>
      </w:r>
      <w:r>
        <w:rPr>
          <w:rFonts w:ascii="Arial" w:hAnsi="Arial" w:cs="Arial"/>
        </w:rPr>
        <w:t xml:space="preserve">aís, como, principalmente, </w:t>
      </w:r>
      <w:r w:rsidR="00917D02">
        <w:rPr>
          <w:rFonts w:ascii="Arial" w:hAnsi="Arial" w:cs="Arial"/>
        </w:rPr>
        <w:t xml:space="preserve">apontam </w:t>
      </w:r>
      <w:r>
        <w:rPr>
          <w:rFonts w:ascii="Arial" w:hAnsi="Arial" w:cs="Arial"/>
        </w:rPr>
        <w:t>a importância, relev</w:t>
      </w:r>
      <w:r w:rsidR="00917D02">
        <w:rPr>
          <w:rFonts w:ascii="Arial" w:hAnsi="Arial" w:cs="Arial"/>
        </w:rPr>
        <w:t xml:space="preserve">ância e necessidade de </w:t>
      </w:r>
      <w:r w:rsidR="0011135C">
        <w:rPr>
          <w:rFonts w:ascii="Arial" w:hAnsi="Arial" w:cs="Arial"/>
        </w:rPr>
        <w:t xml:space="preserve">a </w:t>
      </w:r>
      <w:r w:rsidR="0011135C" w:rsidRPr="00944B3F">
        <w:rPr>
          <w:rFonts w:ascii="Arial" w:hAnsi="Arial" w:cs="Arial"/>
          <w:b/>
        </w:rPr>
        <w:t xml:space="preserve">ANP repensar </w:t>
      </w:r>
      <w:r w:rsidR="00900A5C" w:rsidRPr="00944B3F">
        <w:rPr>
          <w:rFonts w:ascii="Arial" w:hAnsi="Arial" w:cs="Arial"/>
          <w:b/>
        </w:rPr>
        <w:t xml:space="preserve">e revisar </w:t>
      </w:r>
      <w:r w:rsidR="0011135C" w:rsidRPr="00944B3F">
        <w:rPr>
          <w:rFonts w:ascii="Arial" w:hAnsi="Arial" w:cs="Arial"/>
          <w:b/>
        </w:rPr>
        <w:t xml:space="preserve">a política energética nacional </w:t>
      </w:r>
      <w:r w:rsidR="00917D02" w:rsidRPr="00944B3F">
        <w:rPr>
          <w:rFonts w:ascii="Arial" w:hAnsi="Arial" w:cs="Arial"/>
          <w:b/>
        </w:rPr>
        <w:t xml:space="preserve">que </w:t>
      </w:r>
      <w:r w:rsidR="00B431AE">
        <w:rPr>
          <w:rFonts w:ascii="Arial" w:hAnsi="Arial" w:cs="Arial"/>
          <w:b/>
        </w:rPr>
        <w:t>t</w:t>
      </w:r>
      <w:r w:rsidR="00880DB9" w:rsidRPr="00944B3F">
        <w:rPr>
          <w:rFonts w:ascii="Arial" w:hAnsi="Arial" w:cs="Arial"/>
          <w:b/>
        </w:rPr>
        <w:t>em</w:t>
      </w:r>
      <w:r w:rsidR="00917D02" w:rsidRPr="00944B3F">
        <w:rPr>
          <w:rFonts w:ascii="Arial" w:hAnsi="Arial" w:cs="Arial"/>
          <w:b/>
        </w:rPr>
        <w:t xml:space="preserve"> </w:t>
      </w:r>
      <w:r w:rsidR="00B431AE">
        <w:rPr>
          <w:rFonts w:ascii="Arial" w:hAnsi="Arial" w:cs="Arial"/>
          <w:b/>
        </w:rPr>
        <w:t xml:space="preserve">sido </w:t>
      </w:r>
      <w:r w:rsidR="00917D02" w:rsidRPr="00944B3F">
        <w:rPr>
          <w:rFonts w:ascii="Arial" w:hAnsi="Arial" w:cs="Arial"/>
          <w:b/>
        </w:rPr>
        <w:t>implementa</w:t>
      </w:r>
      <w:r w:rsidR="00880DB9" w:rsidRPr="00944B3F">
        <w:rPr>
          <w:rFonts w:ascii="Arial" w:hAnsi="Arial" w:cs="Arial"/>
          <w:b/>
        </w:rPr>
        <w:t>d</w:t>
      </w:r>
      <w:r w:rsidR="00B431AE">
        <w:rPr>
          <w:rFonts w:ascii="Arial" w:hAnsi="Arial" w:cs="Arial"/>
          <w:b/>
        </w:rPr>
        <w:t>a há anos</w:t>
      </w:r>
      <w:r w:rsidR="006A393B">
        <w:rPr>
          <w:rFonts w:ascii="Arial" w:hAnsi="Arial" w:cs="Arial"/>
          <w:b/>
        </w:rPr>
        <w:t xml:space="preserve"> dando preferência aos combustíveis a base do petróleo, ao invés de incentivar a produção e consumo d</w:t>
      </w:r>
      <w:r w:rsidR="00ED075E" w:rsidRPr="00944B3F">
        <w:rPr>
          <w:rFonts w:ascii="Arial" w:hAnsi="Arial" w:cs="Arial"/>
          <w:b/>
        </w:rPr>
        <w:t xml:space="preserve">o etanol </w:t>
      </w:r>
      <w:r w:rsidR="006A393B">
        <w:rPr>
          <w:rFonts w:ascii="Arial" w:hAnsi="Arial" w:cs="Arial"/>
          <w:b/>
        </w:rPr>
        <w:t>n</w:t>
      </w:r>
      <w:r w:rsidR="00C3484A" w:rsidRPr="00944B3F">
        <w:rPr>
          <w:rFonts w:ascii="Arial" w:hAnsi="Arial" w:cs="Arial"/>
          <w:b/>
        </w:rPr>
        <w:t>o país</w:t>
      </w:r>
      <w:r w:rsidR="00880DB9">
        <w:rPr>
          <w:rFonts w:ascii="Arial" w:hAnsi="Arial" w:cs="Arial"/>
        </w:rPr>
        <w:t>.</w:t>
      </w:r>
    </w:p>
    <w:p w:rsidR="00C3484A" w:rsidRDefault="00C3484A" w:rsidP="00880DB9">
      <w:pPr>
        <w:ind w:firstLine="708"/>
        <w:jc w:val="both"/>
        <w:rPr>
          <w:rFonts w:ascii="Arial" w:hAnsi="Arial" w:cs="Arial"/>
        </w:rPr>
      </w:pPr>
    </w:p>
    <w:p w:rsidR="00111D1C" w:rsidRDefault="00880DB9" w:rsidP="00880DB9">
      <w:pPr>
        <w:ind w:firstLine="708"/>
        <w:jc w:val="both"/>
        <w:rPr>
          <w:rFonts w:ascii="Arial" w:hAnsi="Arial" w:cs="Arial"/>
        </w:rPr>
      </w:pPr>
      <w:r>
        <w:rPr>
          <w:rFonts w:ascii="Arial" w:hAnsi="Arial" w:cs="Arial"/>
        </w:rPr>
        <w:t xml:space="preserve">É </w:t>
      </w:r>
      <w:r w:rsidRPr="00944B3F">
        <w:rPr>
          <w:rFonts w:ascii="Arial" w:hAnsi="Arial" w:cs="Arial"/>
          <w:b/>
        </w:rPr>
        <w:t>prioritári</w:t>
      </w:r>
      <w:r w:rsidR="00944B3F" w:rsidRPr="00944B3F">
        <w:rPr>
          <w:rFonts w:ascii="Arial" w:hAnsi="Arial" w:cs="Arial"/>
          <w:b/>
        </w:rPr>
        <w:t>a</w:t>
      </w:r>
      <w:r>
        <w:rPr>
          <w:rFonts w:ascii="Arial" w:hAnsi="Arial" w:cs="Arial"/>
        </w:rPr>
        <w:t xml:space="preserve">, portanto, a </w:t>
      </w:r>
      <w:r w:rsidRPr="00944B3F">
        <w:rPr>
          <w:rFonts w:ascii="Arial" w:hAnsi="Arial" w:cs="Arial"/>
          <w:b/>
        </w:rPr>
        <w:t>alteração</w:t>
      </w:r>
      <w:r w:rsidR="0011135C" w:rsidRPr="00944B3F">
        <w:rPr>
          <w:rFonts w:ascii="Arial" w:hAnsi="Arial" w:cs="Arial"/>
          <w:b/>
        </w:rPr>
        <w:t xml:space="preserve"> </w:t>
      </w:r>
      <w:r w:rsidRPr="00944B3F">
        <w:rPr>
          <w:rFonts w:ascii="Arial" w:hAnsi="Arial" w:cs="Arial"/>
          <w:b/>
        </w:rPr>
        <w:t>d</w:t>
      </w:r>
      <w:r w:rsidR="0011135C" w:rsidRPr="00944B3F">
        <w:rPr>
          <w:rFonts w:ascii="Arial" w:hAnsi="Arial" w:cs="Arial"/>
          <w:b/>
        </w:rPr>
        <w:t xml:space="preserve">o </w:t>
      </w:r>
      <w:r w:rsidRPr="00944B3F">
        <w:rPr>
          <w:rFonts w:ascii="Arial" w:hAnsi="Arial" w:cs="Arial"/>
          <w:b/>
        </w:rPr>
        <w:t xml:space="preserve">atual </w:t>
      </w:r>
      <w:r w:rsidR="0011135C" w:rsidRPr="00944B3F">
        <w:rPr>
          <w:rFonts w:ascii="Arial" w:hAnsi="Arial" w:cs="Arial"/>
          <w:b/>
        </w:rPr>
        <w:t xml:space="preserve">eixo </w:t>
      </w:r>
      <w:r w:rsidR="0050548A" w:rsidRPr="00944B3F">
        <w:rPr>
          <w:rFonts w:ascii="Arial" w:hAnsi="Arial" w:cs="Arial"/>
          <w:b/>
        </w:rPr>
        <w:t xml:space="preserve">de uma política </w:t>
      </w:r>
      <w:r w:rsidRPr="00944B3F">
        <w:rPr>
          <w:rFonts w:ascii="Arial" w:hAnsi="Arial" w:cs="Arial"/>
          <w:b/>
        </w:rPr>
        <w:t xml:space="preserve">energética </w:t>
      </w:r>
      <w:r w:rsidR="0050548A" w:rsidRPr="00944B3F">
        <w:rPr>
          <w:rFonts w:ascii="Arial" w:hAnsi="Arial" w:cs="Arial"/>
          <w:b/>
        </w:rPr>
        <w:t xml:space="preserve">baseada na matriz </w:t>
      </w:r>
      <w:r w:rsidRPr="00944B3F">
        <w:rPr>
          <w:rFonts w:ascii="Arial" w:hAnsi="Arial" w:cs="Arial"/>
          <w:b/>
        </w:rPr>
        <w:t>d</w:t>
      </w:r>
      <w:r w:rsidR="0011135C" w:rsidRPr="00944B3F">
        <w:rPr>
          <w:rFonts w:ascii="Arial" w:hAnsi="Arial" w:cs="Arial"/>
          <w:b/>
        </w:rPr>
        <w:t xml:space="preserve">o petróleo e </w:t>
      </w:r>
      <w:r w:rsidRPr="00944B3F">
        <w:rPr>
          <w:rFonts w:ascii="Arial" w:hAnsi="Arial" w:cs="Arial"/>
          <w:b/>
        </w:rPr>
        <w:t>d</w:t>
      </w:r>
      <w:r w:rsidR="008429C0" w:rsidRPr="00944B3F">
        <w:rPr>
          <w:rFonts w:ascii="Arial" w:hAnsi="Arial" w:cs="Arial"/>
          <w:b/>
        </w:rPr>
        <w:t xml:space="preserve">as distribuidoras </w:t>
      </w:r>
      <w:r w:rsidRPr="00944B3F">
        <w:rPr>
          <w:rFonts w:ascii="Arial" w:hAnsi="Arial" w:cs="Arial"/>
          <w:b/>
        </w:rPr>
        <w:t>como definidoras de oferta e demanda</w:t>
      </w:r>
      <w:r w:rsidR="0050548A" w:rsidRPr="00944B3F">
        <w:rPr>
          <w:rFonts w:ascii="Arial" w:hAnsi="Arial" w:cs="Arial"/>
          <w:b/>
        </w:rPr>
        <w:t xml:space="preserve">, </w:t>
      </w:r>
      <w:r w:rsidRPr="00944B3F">
        <w:rPr>
          <w:rFonts w:ascii="Arial" w:hAnsi="Arial" w:cs="Arial"/>
          <w:b/>
        </w:rPr>
        <w:t>para aquele</w:t>
      </w:r>
      <w:r w:rsidR="0011135C" w:rsidRPr="00944B3F">
        <w:rPr>
          <w:rFonts w:ascii="Arial" w:hAnsi="Arial" w:cs="Arial"/>
          <w:b/>
        </w:rPr>
        <w:t xml:space="preserve"> de </w:t>
      </w:r>
      <w:r w:rsidRPr="00944B3F">
        <w:rPr>
          <w:rFonts w:ascii="Arial" w:hAnsi="Arial" w:cs="Arial"/>
          <w:b/>
        </w:rPr>
        <w:t xml:space="preserve">uma </w:t>
      </w:r>
      <w:r w:rsidR="0011135C" w:rsidRPr="00944B3F">
        <w:rPr>
          <w:rFonts w:ascii="Arial" w:hAnsi="Arial" w:cs="Arial"/>
          <w:b/>
        </w:rPr>
        <w:t>energia l</w:t>
      </w:r>
      <w:r w:rsidRPr="00944B3F">
        <w:rPr>
          <w:rFonts w:ascii="Arial" w:hAnsi="Arial" w:cs="Arial"/>
          <w:b/>
        </w:rPr>
        <w:t>impa, baseada na cana-de-açúcar e</w:t>
      </w:r>
      <w:r w:rsidR="0011135C" w:rsidRPr="00944B3F">
        <w:rPr>
          <w:rFonts w:ascii="Arial" w:hAnsi="Arial" w:cs="Arial"/>
          <w:b/>
        </w:rPr>
        <w:t xml:space="preserve"> </w:t>
      </w:r>
      <w:r w:rsidRPr="00944B3F">
        <w:rPr>
          <w:rFonts w:ascii="Arial" w:hAnsi="Arial" w:cs="Arial"/>
          <w:b/>
        </w:rPr>
        <w:t xml:space="preserve">na </w:t>
      </w:r>
      <w:r w:rsidR="0011135C" w:rsidRPr="00944B3F">
        <w:rPr>
          <w:rFonts w:ascii="Arial" w:hAnsi="Arial" w:cs="Arial"/>
          <w:b/>
        </w:rPr>
        <w:t>biomassa</w:t>
      </w:r>
      <w:r>
        <w:rPr>
          <w:rFonts w:ascii="Arial" w:hAnsi="Arial" w:cs="Arial"/>
        </w:rPr>
        <w:t xml:space="preserve"> – </w:t>
      </w:r>
      <w:r w:rsidR="008429C0">
        <w:rPr>
          <w:rFonts w:ascii="Arial" w:hAnsi="Arial" w:cs="Arial"/>
        </w:rPr>
        <w:t>como inclusive</w:t>
      </w:r>
      <w:r w:rsidR="0011135C">
        <w:rPr>
          <w:rFonts w:ascii="Arial" w:hAnsi="Arial" w:cs="Arial"/>
        </w:rPr>
        <w:t xml:space="preserve"> tem sido feito nos principais </w:t>
      </w:r>
      <w:r w:rsidR="00111D1C">
        <w:rPr>
          <w:rFonts w:ascii="Arial" w:hAnsi="Arial" w:cs="Arial"/>
        </w:rPr>
        <w:t>países desenvolvidos</w:t>
      </w:r>
      <w:r>
        <w:rPr>
          <w:rFonts w:ascii="Arial" w:hAnsi="Arial" w:cs="Arial"/>
        </w:rPr>
        <w:t xml:space="preserve"> –</w:t>
      </w:r>
      <w:r w:rsidR="008429C0">
        <w:rPr>
          <w:rFonts w:ascii="Arial" w:hAnsi="Arial" w:cs="Arial"/>
        </w:rPr>
        <w:t xml:space="preserve"> </w:t>
      </w:r>
      <w:r w:rsidR="0050548A">
        <w:rPr>
          <w:rFonts w:ascii="Arial" w:hAnsi="Arial" w:cs="Arial"/>
        </w:rPr>
        <w:t>com a participação ativa d</w:t>
      </w:r>
      <w:r>
        <w:rPr>
          <w:rFonts w:ascii="Arial" w:hAnsi="Arial" w:cs="Arial"/>
        </w:rPr>
        <w:t>os produtores</w:t>
      </w:r>
      <w:r w:rsidR="0050548A">
        <w:rPr>
          <w:rFonts w:ascii="Arial" w:hAnsi="Arial" w:cs="Arial"/>
        </w:rPr>
        <w:t>, distribuidoras, revendedores e consumidores neste processo de</w:t>
      </w:r>
      <w:r w:rsidR="006A393B">
        <w:rPr>
          <w:rFonts w:ascii="Arial" w:hAnsi="Arial" w:cs="Arial"/>
        </w:rPr>
        <w:t xml:space="preserve"> incremento da</w:t>
      </w:r>
      <w:r w:rsidR="0050548A">
        <w:rPr>
          <w:rFonts w:ascii="Arial" w:hAnsi="Arial" w:cs="Arial"/>
        </w:rPr>
        <w:t xml:space="preserve"> oferta e </w:t>
      </w:r>
      <w:r w:rsidR="006A393B">
        <w:rPr>
          <w:rFonts w:ascii="Arial" w:hAnsi="Arial" w:cs="Arial"/>
        </w:rPr>
        <w:t xml:space="preserve">da </w:t>
      </w:r>
      <w:r w:rsidR="0050548A">
        <w:rPr>
          <w:rFonts w:ascii="Arial" w:hAnsi="Arial" w:cs="Arial"/>
        </w:rPr>
        <w:t>demanda dos di</w:t>
      </w:r>
      <w:r w:rsidR="00A55A51">
        <w:rPr>
          <w:rFonts w:ascii="Arial" w:hAnsi="Arial" w:cs="Arial"/>
        </w:rPr>
        <w:t>ferentes combustíveis substitutos</w:t>
      </w:r>
      <w:r w:rsidR="006A393B">
        <w:rPr>
          <w:rFonts w:ascii="Arial" w:hAnsi="Arial" w:cs="Arial"/>
        </w:rPr>
        <w:t xml:space="preserve"> e mais limpos do que o petróleo</w:t>
      </w:r>
      <w:r w:rsidR="00111D1C">
        <w:rPr>
          <w:rFonts w:ascii="Arial" w:hAnsi="Arial" w:cs="Arial"/>
        </w:rPr>
        <w:t xml:space="preserve">. </w:t>
      </w:r>
    </w:p>
    <w:p w:rsidR="00111D1C" w:rsidRDefault="00111D1C" w:rsidP="00E64838">
      <w:pPr>
        <w:jc w:val="both"/>
        <w:rPr>
          <w:rFonts w:ascii="Arial" w:hAnsi="Arial" w:cs="Arial"/>
        </w:rPr>
      </w:pPr>
    </w:p>
    <w:p w:rsidR="003D27D4" w:rsidRDefault="00111D1C" w:rsidP="007C1817">
      <w:pPr>
        <w:ind w:firstLine="708"/>
        <w:jc w:val="both"/>
        <w:rPr>
          <w:rFonts w:ascii="Arial" w:hAnsi="Arial" w:cs="Arial"/>
        </w:rPr>
      </w:pPr>
      <w:r>
        <w:rPr>
          <w:rFonts w:ascii="Arial" w:hAnsi="Arial" w:cs="Arial"/>
        </w:rPr>
        <w:t xml:space="preserve">Nesse sentido e como primeiro e principal ponto a ser colocado na pauta deste debate está aquele das </w:t>
      </w:r>
      <w:r w:rsidRPr="00944B3F">
        <w:rPr>
          <w:rFonts w:ascii="Arial" w:hAnsi="Arial" w:cs="Arial"/>
          <w:b/>
        </w:rPr>
        <w:t xml:space="preserve">medidas que devem ser adotadas pela ANP para </w:t>
      </w:r>
      <w:r w:rsidRPr="00944B3F">
        <w:rPr>
          <w:rFonts w:ascii="Arial" w:hAnsi="Arial" w:cs="Arial"/>
          <w:b/>
          <w:u w:val="single"/>
        </w:rPr>
        <w:t>incentivar a produção, distribuição e consumo do etanol hidratado</w:t>
      </w:r>
      <w:r w:rsidRPr="00944B3F">
        <w:rPr>
          <w:rFonts w:ascii="Arial" w:hAnsi="Arial" w:cs="Arial"/>
          <w:b/>
        </w:rPr>
        <w:t xml:space="preserve"> no país</w:t>
      </w:r>
      <w:r>
        <w:rPr>
          <w:rFonts w:ascii="Arial" w:hAnsi="Arial" w:cs="Arial"/>
        </w:rPr>
        <w:t xml:space="preserve">. </w:t>
      </w:r>
    </w:p>
    <w:p w:rsidR="003D27D4" w:rsidRDefault="003D27D4" w:rsidP="00E64838">
      <w:pPr>
        <w:jc w:val="both"/>
        <w:rPr>
          <w:rFonts w:ascii="Arial" w:hAnsi="Arial" w:cs="Arial"/>
        </w:rPr>
      </w:pPr>
    </w:p>
    <w:p w:rsidR="00021B4E" w:rsidRDefault="00111D1C" w:rsidP="007C1817">
      <w:pPr>
        <w:ind w:firstLine="708"/>
        <w:jc w:val="both"/>
        <w:rPr>
          <w:rFonts w:ascii="Arial" w:hAnsi="Arial" w:cs="Arial"/>
        </w:rPr>
      </w:pPr>
      <w:r>
        <w:rPr>
          <w:rFonts w:ascii="Arial" w:hAnsi="Arial" w:cs="Arial"/>
        </w:rPr>
        <w:t>É a partir de</w:t>
      </w:r>
      <w:r w:rsidR="00A302DA">
        <w:rPr>
          <w:rFonts w:ascii="Arial" w:hAnsi="Arial" w:cs="Arial"/>
        </w:rPr>
        <w:t xml:space="preserve">ste tema </w:t>
      </w:r>
      <w:r w:rsidR="003D27D4">
        <w:rPr>
          <w:rFonts w:ascii="Arial" w:hAnsi="Arial" w:cs="Arial"/>
        </w:rPr>
        <w:t xml:space="preserve">central </w:t>
      </w:r>
      <w:r w:rsidR="00A302DA">
        <w:rPr>
          <w:rFonts w:ascii="Arial" w:hAnsi="Arial" w:cs="Arial"/>
        </w:rPr>
        <w:t xml:space="preserve">que o SINDAÇÚCAR/PE acredita que </w:t>
      </w:r>
      <w:r w:rsidR="003D27D4">
        <w:rPr>
          <w:rFonts w:ascii="Arial" w:hAnsi="Arial" w:cs="Arial"/>
        </w:rPr>
        <w:t>o objeto d</w:t>
      </w:r>
      <w:r w:rsidR="00A302DA">
        <w:rPr>
          <w:rFonts w:ascii="Arial" w:hAnsi="Arial" w:cs="Arial"/>
        </w:rPr>
        <w:t>a “venda direta pelo produtor</w:t>
      </w:r>
      <w:r w:rsidR="00EF3655">
        <w:rPr>
          <w:rFonts w:ascii="Arial" w:hAnsi="Arial" w:cs="Arial"/>
        </w:rPr>
        <w:t xml:space="preserve"> ao revendedor</w:t>
      </w:r>
      <w:r w:rsidR="00A302DA">
        <w:rPr>
          <w:rFonts w:ascii="Arial" w:hAnsi="Arial" w:cs="Arial"/>
        </w:rPr>
        <w:t>”</w:t>
      </w:r>
      <w:r w:rsidR="003D27D4">
        <w:rPr>
          <w:rFonts w:ascii="Arial" w:hAnsi="Arial" w:cs="Arial"/>
        </w:rPr>
        <w:t>,</w:t>
      </w:r>
      <w:r w:rsidR="00A302DA">
        <w:rPr>
          <w:rFonts w:ascii="Arial" w:hAnsi="Arial" w:cs="Arial"/>
        </w:rPr>
        <w:t xml:space="preserve"> </w:t>
      </w:r>
      <w:r w:rsidR="003D27D4">
        <w:rPr>
          <w:rFonts w:ascii="Arial" w:hAnsi="Arial" w:cs="Arial"/>
        </w:rPr>
        <w:t>tratado n</w:t>
      </w:r>
      <w:r w:rsidR="00A302DA">
        <w:rPr>
          <w:rFonts w:ascii="Arial" w:hAnsi="Arial" w:cs="Arial"/>
        </w:rPr>
        <w:t>a TPC</w:t>
      </w:r>
      <w:r w:rsidR="001945FA">
        <w:rPr>
          <w:rFonts w:ascii="Arial" w:hAnsi="Arial" w:cs="Arial"/>
        </w:rPr>
        <w:t xml:space="preserve"> 02/2018</w:t>
      </w:r>
      <w:r w:rsidR="000A6773">
        <w:rPr>
          <w:rFonts w:ascii="Arial" w:hAnsi="Arial" w:cs="Arial"/>
        </w:rPr>
        <w:t>, assim como</w:t>
      </w:r>
      <w:r w:rsidR="001945FA">
        <w:rPr>
          <w:rFonts w:ascii="Arial" w:hAnsi="Arial" w:cs="Arial"/>
        </w:rPr>
        <w:t xml:space="preserve"> aquele do “embandeiramento”</w:t>
      </w:r>
      <w:r w:rsidR="00F95915">
        <w:rPr>
          <w:rFonts w:ascii="Arial" w:hAnsi="Arial" w:cs="Arial"/>
        </w:rPr>
        <w:t xml:space="preserve"> e dos “contratos de exclusividade”</w:t>
      </w:r>
      <w:r w:rsidR="001945FA">
        <w:rPr>
          <w:rFonts w:ascii="Arial" w:hAnsi="Arial" w:cs="Arial"/>
        </w:rPr>
        <w:t>, objeto</w:t>
      </w:r>
      <w:r w:rsidR="00F95915">
        <w:rPr>
          <w:rFonts w:ascii="Arial" w:hAnsi="Arial" w:cs="Arial"/>
        </w:rPr>
        <w:t>s</w:t>
      </w:r>
      <w:r w:rsidR="001945FA">
        <w:rPr>
          <w:rFonts w:ascii="Arial" w:hAnsi="Arial" w:cs="Arial"/>
        </w:rPr>
        <w:t xml:space="preserve"> desta TPC</w:t>
      </w:r>
      <w:r w:rsidR="00F95915">
        <w:rPr>
          <w:rFonts w:ascii="Arial" w:hAnsi="Arial" w:cs="Arial"/>
        </w:rPr>
        <w:t xml:space="preserve">; </w:t>
      </w:r>
      <w:r w:rsidR="006A393B">
        <w:rPr>
          <w:rFonts w:ascii="Arial" w:hAnsi="Arial" w:cs="Arial"/>
        </w:rPr>
        <w:t>e,</w:t>
      </w:r>
      <w:r w:rsidR="00F95915">
        <w:rPr>
          <w:rFonts w:ascii="Arial" w:hAnsi="Arial" w:cs="Arial"/>
        </w:rPr>
        <w:t xml:space="preserve"> </w:t>
      </w:r>
      <w:r w:rsidR="000A6773">
        <w:rPr>
          <w:rFonts w:ascii="Arial" w:hAnsi="Arial" w:cs="Arial"/>
        </w:rPr>
        <w:t>da verticalização, reportado na TPC 03/2018,</w:t>
      </w:r>
      <w:r w:rsidR="003D27D4">
        <w:rPr>
          <w:rFonts w:ascii="Arial" w:hAnsi="Arial" w:cs="Arial"/>
        </w:rPr>
        <w:t xml:space="preserve"> deve</w:t>
      </w:r>
      <w:r w:rsidR="000A6773">
        <w:rPr>
          <w:rFonts w:ascii="Arial" w:hAnsi="Arial" w:cs="Arial"/>
        </w:rPr>
        <w:t>m</w:t>
      </w:r>
      <w:r w:rsidR="003D27D4">
        <w:rPr>
          <w:rFonts w:ascii="Arial" w:hAnsi="Arial" w:cs="Arial"/>
        </w:rPr>
        <w:t xml:space="preserve"> se pautar e, portanto, </w:t>
      </w:r>
      <w:r w:rsidR="00EF3655">
        <w:rPr>
          <w:rFonts w:ascii="Arial" w:hAnsi="Arial" w:cs="Arial"/>
        </w:rPr>
        <w:t>ao qual</w:t>
      </w:r>
      <w:r w:rsidR="003D27D4">
        <w:rPr>
          <w:rFonts w:ascii="Arial" w:hAnsi="Arial" w:cs="Arial"/>
        </w:rPr>
        <w:t xml:space="preserve"> suas contribuições se direcionam.</w:t>
      </w:r>
    </w:p>
    <w:p w:rsidR="003D27D4" w:rsidRDefault="003D27D4" w:rsidP="00E64838">
      <w:pPr>
        <w:jc w:val="both"/>
        <w:rPr>
          <w:rFonts w:ascii="Arial" w:hAnsi="Arial" w:cs="Arial"/>
        </w:rPr>
      </w:pPr>
    </w:p>
    <w:p w:rsidR="00C3484A" w:rsidRDefault="006F4E2B" w:rsidP="00405B06">
      <w:pPr>
        <w:ind w:firstLine="708"/>
        <w:jc w:val="both"/>
        <w:rPr>
          <w:rFonts w:ascii="Arial" w:hAnsi="Arial" w:cs="Arial"/>
        </w:rPr>
      </w:pPr>
      <w:r>
        <w:rPr>
          <w:rFonts w:ascii="Arial" w:hAnsi="Arial" w:cs="Arial"/>
        </w:rPr>
        <w:t xml:space="preserve">Feita esta </w:t>
      </w:r>
      <w:r w:rsidR="00C3484A">
        <w:rPr>
          <w:rFonts w:ascii="Arial" w:hAnsi="Arial" w:cs="Arial"/>
        </w:rPr>
        <w:t xml:space="preserve">breve </w:t>
      </w:r>
      <w:r>
        <w:rPr>
          <w:rFonts w:ascii="Arial" w:hAnsi="Arial" w:cs="Arial"/>
        </w:rPr>
        <w:t>introdução, passa-se a seguir a apresentação de suas contribuições e j</w:t>
      </w:r>
      <w:r w:rsidR="002B763E">
        <w:rPr>
          <w:rFonts w:ascii="Arial" w:hAnsi="Arial" w:cs="Arial"/>
        </w:rPr>
        <w:t xml:space="preserve">ustificativas para a defesa da revogação – ou pelo menos da </w:t>
      </w:r>
      <w:r w:rsidR="000A6773">
        <w:rPr>
          <w:rFonts w:ascii="Arial" w:hAnsi="Arial" w:cs="Arial"/>
        </w:rPr>
        <w:t>atenu</w:t>
      </w:r>
      <w:r w:rsidR="002B763E">
        <w:rPr>
          <w:rFonts w:ascii="Arial" w:hAnsi="Arial" w:cs="Arial"/>
        </w:rPr>
        <w:t>ação da regra do embandeiramento e, mais especificamente,</w:t>
      </w:r>
      <w:r w:rsidR="006A393B">
        <w:rPr>
          <w:rFonts w:ascii="Arial" w:hAnsi="Arial" w:cs="Arial"/>
        </w:rPr>
        <w:t xml:space="preserve"> do fim ou, pelo menos da maior regulação e regulamentação, </w:t>
      </w:r>
      <w:r w:rsidR="002B763E">
        <w:rPr>
          <w:rFonts w:ascii="Arial" w:hAnsi="Arial" w:cs="Arial"/>
        </w:rPr>
        <w:t xml:space="preserve">dos contratos de exclusividade celebrados entre distribuidoras e revendedores, os quais </w:t>
      </w:r>
      <w:r w:rsidR="00405B06">
        <w:rPr>
          <w:rFonts w:ascii="Arial" w:hAnsi="Arial" w:cs="Arial"/>
        </w:rPr>
        <w:t>criam uma real situação de monopólio entre a distribuidora bandeirada e seus revendedores</w:t>
      </w:r>
      <w:r>
        <w:rPr>
          <w:rFonts w:ascii="Arial" w:hAnsi="Arial" w:cs="Arial"/>
        </w:rPr>
        <w:t xml:space="preserve">. </w:t>
      </w:r>
    </w:p>
    <w:p w:rsidR="00C3484A" w:rsidRDefault="00C3484A" w:rsidP="00405B06">
      <w:pPr>
        <w:ind w:firstLine="708"/>
        <w:jc w:val="both"/>
        <w:rPr>
          <w:rFonts w:ascii="Arial" w:hAnsi="Arial" w:cs="Arial"/>
        </w:rPr>
      </w:pPr>
    </w:p>
    <w:p w:rsidR="003D27D4" w:rsidRDefault="006F4E2B" w:rsidP="00405B06">
      <w:pPr>
        <w:ind w:firstLine="708"/>
        <w:jc w:val="both"/>
        <w:rPr>
          <w:rFonts w:ascii="Arial" w:hAnsi="Arial" w:cs="Arial"/>
        </w:rPr>
      </w:pPr>
      <w:r>
        <w:rPr>
          <w:rFonts w:ascii="Arial" w:hAnsi="Arial" w:cs="Arial"/>
        </w:rPr>
        <w:t xml:space="preserve">Antes disso, </w:t>
      </w:r>
      <w:r w:rsidR="00034BA0">
        <w:rPr>
          <w:rFonts w:ascii="Arial" w:hAnsi="Arial" w:cs="Arial"/>
        </w:rPr>
        <w:t>apresenta-se</w:t>
      </w:r>
      <w:r w:rsidR="00405B06">
        <w:rPr>
          <w:rFonts w:ascii="Arial" w:hAnsi="Arial" w:cs="Arial"/>
        </w:rPr>
        <w:t>, mais uma vez,</w:t>
      </w:r>
      <w:r w:rsidR="00034BA0">
        <w:rPr>
          <w:rFonts w:ascii="Arial" w:hAnsi="Arial" w:cs="Arial"/>
        </w:rPr>
        <w:t xml:space="preserve"> uma brevíssima revisão do arcabouço regulatório atual, que tem na livre iniciativa, livre concorrência, incentivo aos biocombustíveis, proteção aos consumidores e </w:t>
      </w:r>
      <w:r w:rsidR="00314020">
        <w:rPr>
          <w:rFonts w:ascii="Arial" w:hAnsi="Arial" w:cs="Arial"/>
        </w:rPr>
        <w:t>perenidade de abastecimento</w:t>
      </w:r>
      <w:r w:rsidR="00900A5C">
        <w:rPr>
          <w:rFonts w:ascii="Arial" w:hAnsi="Arial" w:cs="Arial"/>
        </w:rPr>
        <w:t>, seus</w:t>
      </w:r>
      <w:r w:rsidR="00314020">
        <w:rPr>
          <w:rFonts w:ascii="Arial" w:hAnsi="Arial" w:cs="Arial"/>
        </w:rPr>
        <w:t xml:space="preserve"> princípios basilares.</w:t>
      </w:r>
    </w:p>
    <w:p w:rsidR="00314020" w:rsidRDefault="00314020" w:rsidP="00E64838">
      <w:pPr>
        <w:jc w:val="both"/>
        <w:rPr>
          <w:rFonts w:ascii="Arial" w:hAnsi="Arial" w:cs="Arial"/>
        </w:rPr>
      </w:pPr>
    </w:p>
    <w:p w:rsidR="00314020" w:rsidRPr="00FC6B8B" w:rsidRDefault="00314020" w:rsidP="00E64838">
      <w:pPr>
        <w:jc w:val="both"/>
        <w:rPr>
          <w:rFonts w:ascii="Arial" w:hAnsi="Arial" w:cs="Arial"/>
          <w:b/>
          <w:i/>
        </w:rPr>
      </w:pPr>
      <w:r w:rsidRPr="00FC6B8B">
        <w:rPr>
          <w:rFonts w:ascii="Arial" w:hAnsi="Arial" w:cs="Arial"/>
          <w:b/>
          <w:i/>
        </w:rPr>
        <w:t>I –</w:t>
      </w:r>
      <w:r w:rsidR="007C1817" w:rsidRPr="00FC6B8B">
        <w:rPr>
          <w:rFonts w:ascii="Arial" w:hAnsi="Arial" w:cs="Arial"/>
          <w:b/>
          <w:i/>
        </w:rPr>
        <w:t xml:space="preserve"> </w:t>
      </w:r>
      <w:r w:rsidRPr="00FC6B8B">
        <w:rPr>
          <w:rFonts w:ascii="Arial" w:hAnsi="Arial" w:cs="Arial"/>
          <w:b/>
          <w:i/>
          <w:u w:val="single"/>
        </w:rPr>
        <w:t xml:space="preserve">Breve </w:t>
      </w:r>
      <w:r w:rsidR="00287C67" w:rsidRPr="00FC6B8B">
        <w:rPr>
          <w:rFonts w:ascii="Arial" w:hAnsi="Arial" w:cs="Arial"/>
          <w:b/>
          <w:i/>
          <w:u w:val="single"/>
        </w:rPr>
        <w:t>Panorama</w:t>
      </w:r>
      <w:r w:rsidRPr="00FC6B8B">
        <w:rPr>
          <w:rFonts w:ascii="Arial" w:hAnsi="Arial" w:cs="Arial"/>
          <w:b/>
          <w:i/>
          <w:u w:val="single"/>
        </w:rPr>
        <w:t xml:space="preserve"> do Atual Arcabouço Regulatório </w:t>
      </w:r>
      <w:r w:rsidR="007C1817" w:rsidRPr="00FC6B8B">
        <w:rPr>
          <w:rFonts w:ascii="Arial" w:hAnsi="Arial" w:cs="Arial"/>
          <w:b/>
          <w:i/>
          <w:u w:val="single"/>
        </w:rPr>
        <w:t>da ANP</w:t>
      </w:r>
      <w:r w:rsidR="002D75BB" w:rsidRPr="00FC6B8B">
        <w:rPr>
          <w:rFonts w:ascii="Arial" w:hAnsi="Arial" w:cs="Arial"/>
          <w:b/>
          <w:i/>
          <w:u w:val="single"/>
        </w:rPr>
        <w:t xml:space="preserve"> e a</w:t>
      </w:r>
      <w:r w:rsidR="00CD1112">
        <w:rPr>
          <w:rFonts w:ascii="Arial" w:hAnsi="Arial" w:cs="Arial"/>
          <w:b/>
          <w:i/>
          <w:u w:val="single"/>
        </w:rPr>
        <w:t xml:space="preserve"> Defesa da Concorrência como Princípio Basilar da Lei do Petróleo e das Normas Infralegais da ANP</w:t>
      </w:r>
      <w:r w:rsidR="007C1817" w:rsidRPr="00FC6B8B">
        <w:rPr>
          <w:rFonts w:ascii="Arial" w:hAnsi="Arial" w:cs="Arial"/>
          <w:b/>
          <w:i/>
        </w:rPr>
        <w:t>.</w:t>
      </w:r>
    </w:p>
    <w:p w:rsidR="007C1817" w:rsidRPr="007C1817" w:rsidRDefault="007C1817" w:rsidP="007C1817">
      <w:pPr>
        <w:spacing w:line="276" w:lineRule="auto"/>
        <w:jc w:val="both"/>
        <w:rPr>
          <w:rFonts w:ascii="Arial" w:hAnsi="Arial" w:cs="Arial"/>
        </w:rPr>
      </w:pPr>
    </w:p>
    <w:p w:rsidR="0093733C" w:rsidRDefault="0093733C" w:rsidP="00F95915">
      <w:pPr>
        <w:ind w:firstLine="708"/>
        <w:jc w:val="both"/>
        <w:rPr>
          <w:rFonts w:ascii="Arial" w:hAnsi="Arial" w:cs="Arial"/>
        </w:rPr>
      </w:pPr>
      <w:r w:rsidRPr="0093733C">
        <w:rPr>
          <w:rFonts w:ascii="Arial" w:hAnsi="Arial" w:cs="Arial"/>
        </w:rPr>
        <w:t xml:space="preserve">Seguindo os ditames, preceitos e princípios constitucionais da Ordem Econômica da República Federativa do Brasil, previstos no artigo 170 e ss. da </w:t>
      </w:r>
      <w:r w:rsidR="006C7D2A" w:rsidRPr="0093733C">
        <w:rPr>
          <w:rFonts w:ascii="Arial" w:hAnsi="Arial" w:cs="Arial"/>
        </w:rPr>
        <w:t>Constituição da República Federativa do Brasil (“CF” ou “Carta Magna”)</w:t>
      </w:r>
      <w:r w:rsidRPr="0093733C">
        <w:rPr>
          <w:rFonts w:ascii="Arial" w:hAnsi="Arial" w:cs="Arial"/>
        </w:rPr>
        <w:t xml:space="preserve">, </w:t>
      </w:r>
      <w:r w:rsidR="00B61DED">
        <w:rPr>
          <w:rFonts w:ascii="Arial" w:hAnsi="Arial" w:cs="Arial"/>
        </w:rPr>
        <w:t xml:space="preserve">o Estado, no exercício de suas funções normativa-reguladora ou de agente </w:t>
      </w:r>
      <w:r w:rsidRPr="0093733C">
        <w:rPr>
          <w:rFonts w:ascii="Arial" w:hAnsi="Arial" w:cs="Arial"/>
        </w:rPr>
        <w:t>econômic</w:t>
      </w:r>
      <w:r w:rsidR="00B61DED">
        <w:rPr>
          <w:rFonts w:ascii="Arial" w:hAnsi="Arial" w:cs="Arial"/>
        </w:rPr>
        <w:t>o</w:t>
      </w:r>
      <w:r w:rsidR="00F95915">
        <w:rPr>
          <w:rFonts w:ascii="Arial" w:hAnsi="Arial" w:cs="Arial"/>
        </w:rPr>
        <w:t xml:space="preserve"> –</w:t>
      </w:r>
      <w:r w:rsidRPr="0093733C">
        <w:rPr>
          <w:rFonts w:ascii="Arial" w:hAnsi="Arial" w:cs="Arial"/>
        </w:rPr>
        <w:t xml:space="preserve"> </w:t>
      </w:r>
      <w:r w:rsidR="00B61DED">
        <w:rPr>
          <w:rFonts w:ascii="Arial" w:hAnsi="Arial" w:cs="Arial"/>
        </w:rPr>
        <w:t xml:space="preserve">assim como </w:t>
      </w:r>
      <w:r w:rsidR="006A393B">
        <w:rPr>
          <w:rFonts w:ascii="Arial" w:hAnsi="Arial" w:cs="Arial"/>
        </w:rPr>
        <w:t xml:space="preserve">ocorre com </w:t>
      </w:r>
      <w:r w:rsidR="00B61DED">
        <w:rPr>
          <w:rFonts w:ascii="Arial" w:hAnsi="Arial" w:cs="Arial"/>
        </w:rPr>
        <w:t>os agentes privados</w:t>
      </w:r>
      <w:r w:rsidR="00F95915">
        <w:rPr>
          <w:rFonts w:ascii="Arial" w:hAnsi="Arial" w:cs="Arial"/>
        </w:rPr>
        <w:t xml:space="preserve"> –</w:t>
      </w:r>
      <w:r w:rsidR="00B61DED">
        <w:rPr>
          <w:rFonts w:ascii="Arial" w:hAnsi="Arial" w:cs="Arial"/>
        </w:rPr>
        <w:t xml:space="preserve"> </w:t>
      </w:r>
      <w:r w:rsidRPr="0093733C">
        <w:rPr>
          <w:rFonts w:ascii="Arial" w:hAnsi="Arial" w:cs="Arial"/>
        </w:rPr>
        <w:t>deve respeitar e pautar suas ações de forma a garantir a compatibilização e harmonização</w:t>
      </w:r>
      <w:r w:rsidRPr="006C7D2A">
        <w:rPr>
          <w:rFonts w:cs="Times New Roman (Corpo CS)"/>
          <w:vertAlign w:val="superscript"/>
        </w:rPr>
        <w:footnoteReference w:id="3"/>
      </w:r>
      <w:r w:rsidRPr="0093733C">
        <w:rPr>
          <w:rFonts w:ascii="Arial" w:hAnsi="Arial" w:cs="Arial"/>
        </w:rPr>
        <w:t xml:space="preserve"> de interesses e direitos, algumas vezes contrapostos, associados à livre iniciativa, livre concorrência, propriedade privada, função social da propriedade privada, defesa do consumidor, redução das desigualdades regionais e sociais e </w:t>
      </w:r>
      <w:r w:rsidRPr="0093733C">
        <w:rPr>
          <w:rFonts w:ascii="Arial" w:hAnsi="Arial" w:cs="Arial"/>
        </w:rPr>
        <w:lastRenderedPageBreak/>
        <w:t>tratamento favorecido a empresas de pequeno porte constituídas sob as leis brasileiras e que tenham sua sede e administração no País</w:t>
      </w:r>
      <w:r w:rsidRPr="006C7D2A">
        <w:rPr>
          <w:rFonts w:cs="Times New Roman (Corpo CS)"/>
          <w:vertAlign w:val="superscript"/>
        </w:rPr>
        <w:footnoteReference w:id="4"/>
      </w:r>
      <w:r w:rsidRPr="0093733C">
        <w:rPr>
          <w:rFonts w:ascii="Arial" w:hAnsi="Arial" w:cs="Arial"/>
        </w:rPr>
        <w:t>.</w:t>
      </w:r>
    </w:p>
    <w:p w:rsidR="002D75BB" w:rsidRPr="0093733C" w:rsidRDefault="002D75BB" w:rsidP="003305C1">
      <w:pPr>
        <w:ind w:firstLine="708"/>
        <w:jc w:val="both"/>
        <w:rPr>
          <w:rFonts w:ascii="Arial" w:hAnsi="Arial" w:cs="Arial"/>
        </w:rPr>
      </w:pPr>
    </w:p>
    <w:p w:rsidR="0093733C" w:rsidRDefault="002A0569" w:rsidP="003305C1">
      <w:pPr>
        <w:ind w:firstLine="708"/>
        <w:jc w:val="both"/>
        <w:rPr>
          <w:rFonts w:ascii="Arial" w:hAnsi="Arial" w:cs="Arial"/>
        </w:rPr>
      </w:pPr>
      <w:r>
        <w:rPr>
          <w:rFonts w:ascii="Arial" w:hAnsi="Arial" w:cs="Arial"/>
        </w:rPr>
        <w:t>No âmbito</w:t>
      </w:r>
      <w:r w:rsidR="0093733C" w:rsidRPr="0093733C">
        <w:rPr>
          <w:rFonts w:ascii="Arial" w:hAnsi="Arial" w:cs="Arial"/>
        </w:rPr>
        <w:t xml:space="preserve"> desse espírito, o </w:t>
      </w:r>
      <w:r w:rsidR="0093733C" w:rsidRPr="006C7D2A">
        <w:rPr>
          <w:rFonts w:ascii="Arial" w:hAnsi="Arial" w:cs="Arial"/>
          <w:i/>
        </w:rPr>
        <w:t>caput</w:t>
      </w:r>
      <w:r w:rsidR="0093733C" w:rsidRPr="003305C1">
        <w:rPr>
          <w:rFonts w:ascii="Arial" w:hAnsi="Arial" w:cs="Arial"/>
        </w:rPr>
        <w:t xml:space="preserve"> </w:t>
      </w:r>
      <w:r w:rsidR="0093733C" w:rsidRPr="0093733C">
        <w:rPr>
          <w:rFonts w:ascii="Arial" w:hAnsi="Arial" w:cs="Arial"/>
        </w:rPr>
        <w:t xml:space="preserve">do artigo 173 da </w:t>
      </w:r>
      <w:r w:rsidR="006C7D2A">
        <w:rPr>
          <w:rFonts w:ascii="Arial" w:hAnsi="Arial" w:cs="Arial"/>
        </w:rPr>
        <w:t xml:space="preserve">CF </w:t>
      </w:r>
      <w:r w:rsidR="0093733C" w:rsidRPr="0093733C">
        <w:rPr>
          <w:rFonts w:ascii="Arial" w:hAnsi="Arial" w:cs="Arial"/>
        </w:rPr>
        <w:t xml:space="preserve">determina que “a exploração direta da atividade econômica pelo Estado só será permitida quando necessária aos imperativos da segurança nacional ou a relevante interesse coletivo”, destacando ainda em seu § 4º que “a </w:t>
      </w:r>
      <w:r w:rsidR="0093733C" w:rsidRPr="003305C1">
        <w:rPr>
          <w:rFonts w:ascii="Arial" w:hAnsi="Arial" w:cs="Arial"/>
        </w:rPr>
        <w:t>lei reprimirá o abuso do poder econômico que vise à dominação dos mercados, à eliminação da concorrência</w:t>
      </w:r>
      <w:r w:rsidR="0093733C" w:rsidRPr="0093733C">
        <w:rPr>
          <w:rFonts w:ascii="Arial" w:hAnsi="Arial" w:cs="Arial"/>
        </w:rPr>
        <w:t xml:space="preserve"> e ao aumento arbitrário de lucros</w:t>
      </w:r>
      <w:r w:rsidR="00C45D95">
        <w:rPr>
          <w:rFonts w:ascii="Arial" w:hAnsi="Arial" w:cs="Arial"/>
        </w:rPr>
        <w:t>”</w:t>
      </w:r>
      <w:r w:rsidR="0093733C" w:rsidRPr="0093733C">
        <w:rPr>
          <w:rFonts w:ascii="Arial" w:hAnsi="Arial" w:cs="Arial"/>
        </w:rPr>
        <w:t xml:space="preserve">. </w:t>
      </w:r>
    </w:p>
    <w:p w:rsidR="002D75BB" w:rsidRDefault="002D75BB" w:rsidP="003305C1">
      <w:pPr>
        <w:ind w:firstLine="708"/>
        <w:jc w:val="both"/>
        <w:rPr>
          <w:rFonts w:ascii="Arial" w:hAnsi="Arial" w:cs="Arial"/>
        </w:rPr>
      </w:pPr>
    </w:p>
    <w:p w:rsidR="0093733C" w:rsidRDefault="0093733C" w:rsidP="003305C1">
      <w:pPr>
        <w:ind w:firstLine="708"/>
        <w:jc w:val="both"/>
        <w:rPr>
          <w:rFonts w:ascii="Arial" w:hAnsi="Arial" w:cs="Arial"/>
        </w:rPr>
      </w:pPr>
      <w:r w:rsidRPr="0093733C">
        <w:rPr>
          <w:rFonts w:ascii="Arial" w:hAnsi="Arial" w:cs="Arial"/>
        </w:rPr>
        <w:t>O inciso I do artigo 174 da Carta Magna prevê ainda que a atividade de “</w:t>
      </w:r>
      <w:r w:rsidRPr="003305C1">
        <w:rPr>
          <w:rFonts w:ascii="Arial" w:hAnsi="Arial" w:cs="Arial"/>
        </w:rPr>
        <w:t>agente normativo e regulador</w:t>
      </w:r>
      <w:r w:rsidRPr="0093733C">
        <w:rPr>
          <w:rFonts w:ascii="Arial" w:hAnsi="Arial" w:cs="Arial"/>
        </w:rPr>
        <w:t xml:space="preserve">” do Estado, a partir das funções de fiscalização, incentivo e planejamento, será definida em Lei, a qual “estabelecerá </w:t>
      </w:r>
      <w:r w:rsidRPr="003305C1">
        <w:rPr>
          <w:rFonts w:ascii="Arial" w:hAnsi="Arial" w:cs="Arial"/>
        </w:rPr>
        <w:t>as diretrizes</w:t>
      </w:r>
      <w:r w:rsidRPr="0093733C">
        <w:rPr>
          <w:rFonts w:ascii="Arial" w:hAnsi="Arial" w:cs="Arial"/>
        </w:rPr>
        <w:t xml:space="preserve"> e bases do </w:t>
      </w:r>
      <w:r w:rsidRPr="003305C1">
        <w:rPr>
          <w:rFonts w:ascii="Arial" w:hAnsi="Arial" w:cs="Arial"/>
        </w:rPr>
        <w:t>planejamento do desenvolvimento nacional equilibrado, o qual incorporará e compatibilizará os planos nacionais e regionais de desenvolvimento</w:t>
      </w:r>
      <w:r w:rsidRPr="0093733C">
        <w:rPr>
          <w:rFonts w:ascii="Arial" w:hAnsi="Arial" w:cs="Arial"/>
        </w:rPr>
        <w:t>”</w:t>
      </w:r>
      <w:r w:rsidR="00C45D95">
        <w:rPr>
          <w:rFonts w:ascii="Arial" w:hAnsi="Arial" w:cs="Arial"/>
        </w:rPr>
        <w:t>.</w:t>
      </w:r>
    </w:p>
    <w:p w:rsidR="002D75BB" w:rsidRPr="0093733C" w:rsidRDefault="002D75BB" w:rsidP="003305C1">
      <w:pPr>
        <w:ind w:firstLine="708"/>
        <w:jc w:val="both"/>
        <w:rPr>
          <w:rFonts w:ascii="Arial" w:hAnsi="Arial" w:cs="Arial"/>
        </w:rPr>
      </w:pPr>
    </w:p>
    <w:p w:rsidR="007C1817" w:rsidRDefault="007C1817" w:rsidP="003305C1">
      <w:pPr>
        <w:ind w:firstLine="708"/>
        <w:jc w:val="both"/>
        <w:rPr>
          <w:rFonts w:ascii="Arial" w:hAnsi="Arial" w:cs="Arial"/>
        </w:rPr>
      </w:pPr>
      <w:r w:rsidRPr="007C1817">
        <w:rPr>
          <w:rFonts w:ascii="Arial" w:hAnsi="Arial" w:cs="Arial"/>
        </w:rPr>
        <w:t>A Lei nº 9.478/97 (“Lei do Petróleo”) foi editada</w:t>
      </w:r>
      <w:r w:rsidR="002A0569">
        <w:rPr>
          <w:rFonts w:ascii="Arial" w:hAnsi="Arial" w:cs="Arial"/>
        </w:rPr>
        <w:t xml:space="preserve"> com o objetivo de</w:t>
      </w:r>
      <w:r w:rsidRPr="007C1817">
        <w:rPr>
          <w:rFonts w:ascii="Arial" w:hAnsi="Arial" w:cs="Arial"/>
        </w:rPr>
        <w:t xml:space="preserve"> regulamentar a política energética nacional, o monopólio do petróleo e as demais atividades econômicas relacionadas ao setor de produção, comercialização, distribuição, revenda, exportação e importação de petróleo, gás natural e seus derivados, </w:t>
      </w:r>
      <w:r w:rsidRPr="003305C1">
        <w:rPr>
          <w:rFonts w:ascii="Arial" w:hAnsi="Arial" w:cs="Arial"/>
        </w:rPr>
        <w:t>biocombustíveis e etanol</w:t>
      </w:r>
      <w:r w:rsidRPr="007C1817">
        <w:rPr>
          <w:rFonts w:ascii="Arial" w:hAnsi="Arial" w:cs="Arial"/>
        </w:rPr>
        <w:t xml:space="preserve">. </w:t>
      </w:r>
    </w:p>
    <w:p w:rsidR="002D75BB" w:rsidRDefault="002D75BB" w:rsidP="003305C1">
      <w:pPr>
        <w:ind w:firstLine="708"/>
        <w:jc w:val="both"/>
        <w:rPr>
          <w:rFonts w:ascii="Arial" w:hAnsi="Arial" w:cs="Arial"/>
        </w:rPr>
      </w:pPr>
    </w:p>
    <w:p w:rsidR="007C1817" w:rsidRDefault="007C1817" w:rsidP="003305C1">
      <w:pPr>
        <w:ind w:firstLine="708"/>
        <w:jc w:val="both"/>
        <w:rPr>
          <w:rFonts w:ascii="Arial" w:hAnsi="Arial" w:cs="Arial"/>
        </w:rPr>
      </w:pPr>
      <w:r w:rsidRPr="007C1817">
        <w:rPr>
          <w:rFonts w:ascii="Arial" w:hAnsi="Arial" w:cs="Arial"/>
        </w:rPr>
        <w:t xml:space="preserve">Em seu artigo 1º foi expressamente determinado que a </w:t>
      </w:r>
      <w:r w:rsidRPr="003305C1">
        <w:rPr>
          <w:rFonts w:ascii="Arial" w:hAnsi="Arial" w:cs="Arial"/>
        </w:rPr>
        <w:t>política energética nacional visará</w:t>
      </w:r>
      <w:r w:rsidRPr="007C1817">
        <w:rPr>
          <w:rFonts w:ascii="Arial" w:hAnsi="Arial" w:cs="Arial"/>
        </w:rPr>
        <w:t xml:space="preserve">, dentre outros objetivos: (a) </w:t>
      </w:r>
      <w:r w:rsidRPr="003305C1">
        <w:rPr>
          <w:rFonts w:ascii="Arial" w:hAnsi="Arial" w:cs="Arial"/>
        </w:rPr>
        <w:t>a promoção do desenvolvimento</w:t>
      </w:r>
      <w:r w:rsidR="00B2521F">
        <w:rPr>
          <w:rFonts w:ascii="Arial" w:hAnsi="Arial" w:cs="Arial"/>
        </w:rPr>
        <w:t xml:space="preserve"> econômico</w:t>
      </w:r>
      <w:r w:rsidRPr="003305C1">
        <w:rPr>
          <w:rFonts w:ascii="Arial" w:hAnsi="Arial" w:cs="Arial"/>
        </w:rPr>
        <w:t>, ampliação do mercado de trabalho e a valorização dos recursos energéticos</w:t>
      </w:r>
      <w:r w:rsidRPr="007C1817">
        <w:rPr>
          <w:rFonts w:ascii="Arial" w:hAnsi="Arial" w:cs="Arial"/>
        </w:rPr>
        <w:t xml:space="preserve">; (b) a </w:t>
      </w:r>
      <w:r w:rsidRPr="0051025C">
        <w:rPr>
          <w:rFonts w:ascii="Arial" w:hAnsi="Arial" w:cs="Arial"/>
          <w:b/>
        </w:rPr>
        <w:t>proteção dos interesses do consumidor quanto a preço, qualidade e oferta dos produtos</w:t>
      </w:r>
      <w:r w:rsidRPr="007C1817">
        <w:rPr>
          <w:rFonts w:ascii="Arial" w:hAnsi="Arial" w:cs="Arial"/>
        </w:rPr>
        <w:t xml:space="preserve">; (c) </w:t>
      </w:r>
      <w:r w:rsidRPr="003674F7">
        <w:rPr>
          <w:rFonts w:ascii="Arial" w:hAnsi="Arial" w:cs="Arial"/>
          <w:b/>
        </w:rPr>
        <w:t>a promoção da livre concorrência</w:t>
      </w:r>
      <w:r w:rsidRPr="007C1817">
        <w:rPr>
          <w:rFonts w:ascii="Arial" w:hAnsi="Arial" w:cs="Arial"/>
        </w:rPr>
        <w:t xml:space="preserve">; e (d) o </w:t>
      </w:r>
      <w:r w:rsidRPr="003305C1">
        <w:rPr>
          <w:rFonts w:ascii="Arial" w:hAnsi="Arial" w:cs="Arial"/>
        </w:rPr>
        <w:t xml:space="preserve">incremento, em bases econômicas, sociais e ambientais, da </w:t>
      </w:r>
      <w:r w:rsidRPr="003674F7">
        <w:rPr>
          <w:rFonts w:ascii="Arial" w:hAnsi="Arial" w:cs="Arial"/>
          <w:b/>
        </w:rPr>
        <w:t>participação dos biocombustíveis na matriz energética nacional</w:t>
      </w:r>
      <w:r w:rsidRPr="007C1817">
        <w:rPr>
          <w:rFonts w:ascii="Arial" w:hAnsi="Arial" w:cs="Arial"/>
        </w:rPr>
        <w:t xml:space="preserve">. </w:t>
      </w:r>
    </w:p>
    <w:p w:rsidR="00287C67" w:rsidRDefault="00287C67" w:rsidP="003305C1">
      <w:pPr>
        <w:ind w:firstLine="708"/>
        <w:jc w:val="both"/>
        <w:rPr>
          <w:rFonts w:ascii="Arial" w:hAnsi="Arial" w:cs="Arial"/>
        </w:rPr>
      </w:pPr>
    </w:p>
    <w:p w:rsidR="00493E39" w:rsidRDefault="00493E39" w:rsidP="003305C1">
      <w:pPr>
        <w:ind w:firstLine="708"/>
        <w:jc w:val="both"/>
        <w:rPr>
          <w:rFonts w:ascii="Arial" w:hAnsi="Arial" w:cs="Arial"/>
        </w:rPr>
      </w:pPr>
      <w:r w:rsidRPr="00493E39">
        <w:rPr>
          <w:rFonts w:ascii="Arial" w:hAnsi="Arial" w:cs="Arial"/>
        </w:rPr>
        <w:t xml:space="preserve">Os artigos 7º e 8º da </w:t>
      </w:r>
      <w:r>
        <w:rPr>
          <w:rFonts w:ascii="Arial" w:hAnsi="Arial" w:cs="Arial"/>
        </w:rPr>
        <w:t xml:space="preserve">Lei do Petróleo </w:t>
      </w:r>
      <w:r w:rsidRPr="00493E39">
        <w:rPr>
          <w:rFonts w:ascii="Arial" w:hAnsi="Arial" w:cs="Arial"/>
        </w:rPr>
        <w:t xml:space="preserve">conferiram à ANP, na qualidade de agência reguladora </w:t>
      </w:r>
      <w:r w:rsidR="00B2521F">
        <w:rPr>
          <w:rFonts w:ascii="Arial" w:hAnsi="Arial" w:cs="Arial"/>
        </w:rPr>
        <w:t xml:space="preserve">independente </w:t>
      </w:r>
      <w:r w:rsidRPr="00493E39">
        <w:rPr>
          <w:rFonts w:ascii="Arial" w:hAnsi="Arial" w:cs="Arial"/>
        </w:rPr>
        <w:t xml:space="preserve">do setor, a função de promoção da regulação, contratação e fiscalização das atividades econômicas integrantes da indústria do petróleo, gás natural, seus derivados e </w:t>
      </w:r>
      <w:r w:rsidRPr="003305C1">
        <w:rPr>
          <w:rFonts w:ascii="Arial" w:hAnsi="Arial" w:cs="Arial"/>
        </w:rPr>
        <w:t>biocombustíveis</w:t>
      </w:r>
      <w:r w:rsidRPr="00B2521F">
        <w:rPr>
          <w:rFonts w:cs="Times New Roman (Corpo CS)"/>
          <w:vertAlign w:val="superscript"/>
        </w:rPr>
        <w:footnoteReference w:id="5"/>
      </w:r>
      <w:r w:rsidRPr="00493E39">
        <w:rPr>
          <w:rFonts w:ascii="Arial" w:hAnsi="Arial" w:cs="Arial"/>
        </w:rPr>
        <w:t xml:space="preserve">, neste último incluindo-se o </w:t>
      </w:r>
      <w:r w:rsidRPr="003674F7">
        <w:rPr>
          <w:rFonts w:ascii="Arial" w:hAnsi="Arial" w:cs="Arial"/>
          <w:b/>
        </w:rPr>
        <w:t>etanol</w:t>
      </w:r>
      <w:r w:rsidRPr="00B2521F">
        <w:rPr>
          <w:rFonts w:cs="Times New Roman (Corpo CS)"/>
          <w:vertAlign w:val="superscript"/>
        </w:rPr>
        <w:footnoteReference w:id="6"/>
      </w:r>
      <w:r w:rsidRPr="00493E39">
        <w:rPr>
          <w:rFonts w:ascii="Arial" w:hAnsi="Arial" w:cs="Arial"/>
        </w:rPr>
        <w:t>.</w:t>
      </w:r>
    </w:p>
    <w:p w:rsidR="00287C67" w:rsidRDefault="00287C67" w:rsidP="003305C1">
      <w:pPr>
        <w:ind w:firstLine="708"/>
        <w:jc w:val="both"/>
        <w:rPr>
          <w:rFonts w:ascii="Arial" w:hAnsi="Arial" w:cs="Arial"/>
        </w:rPr>
      </w:pPr>
    </w:p>
    <w:p w:rsidR="00493E39" w:rsidRDefault="00493E39" w:rsidP="003305C1">
      <w:pPr>
        <w:ind w:firstLine="708"/>
        <w:jc w:val="both"/>
        <w:rPr>
          <w:rFonts w:ascii="Arial" w:hAnsi="Arial" w:cs="Arial"/>
        </w:rPr>
      </w:pPr>
      <w:r>
        <w:rPr>
          <w:rFonts w:ascii="Arial" w:hAnsi="Arial" w:cs="Arial"/>
        </w:rPr>
        <w:t>O</w:t>
      </w:r>
      <w:r w:rsidR="00AD0865">
        <w:rPr>
          <w:rFonts w:ascii="Arial" w:hAnsi="Arial" w:cs="Arial"/>
        </w:rPr>
        <w:t xml:space="preserve">s </w:t>
      </w:r>
      <w:r w:rsidRPr="00493E39">
        <w:rPr>
          <w:rFonts w:ascii="Arial" w:hAnsi="Arial" w:cs="Arial"/>
        </w:rPr>
        <w:t xml:space="preserve">incisos I e XVI </w:t>
      </w:r>
      <w:r w:rsidR="00AD0865">
        <w:rPr>
          <w:rFonts w:ascii="Arial" w:hAnsi="Arial" w:cs="Arial"/>
        </w:rPr>
        <w:t xml:space="preserve">do </w:t>
      </w:r>
      <w:r w:rsidR="00AD0865" w:rsidRPr="00493E39">
        <w:rPr>
          <w:rFonts w:ascii="Arial" w:hAnsi="Arial" w:cs="Arial"/>
        </w:rPr>
        <w:t>artigo 8º</w:t>
      </w:r>
      <w:r w:rsidR="00AD0865">
        <w:rPr>
          <w:rFonts w:ascii="Arial" w:hAnsi="Arial" w:cs="Arial"/>
        </w:rPr>
        <w:t xml:space="preserve"> </w:t>
      </w:r>
      <w:r w:rsidRPr="00493E39">
        <w:rPr>
          <w:rFonts w:ascii="Arial" w:hAnsi="Arial" w:cs="Arial"/>
        </w:rPr>
        <w:t xml:space="preserve">da Lei nº 9.478/97, </w:t>
      </w:r>
      <w:r>
        <w:rPr>
          <w:rFonts w:ascii="Arial" w:hAnsi="Arial" w:cs="Arial"/>
        </w:rPr>
        <w:t>por seu turno, determina</w:t>
      </w:r>
      <w:r w:rsidR="00AD0865">
        <w:rPr>
          <w:rFonts w:ascii="Arial" w:hAnsi="Arial" w:cs="Arial"/>
        </w:rPr>
        <w:t>m</w:t>
      </w:r>
      <w:r>
        <w:rPr>
          <w:rFonts w:ascii="Arial" w:hAnsi="Arial" w:cs="Arial"/>
        </w:rPr>
        <w:t xml:space="preserve"> que </w:t>
      </w:r>
      <w:r w:rsidRPr="00493E39">
        <w:rPr>
          <w:rFonts w:ascii="Arial" w:hAnsi="Arial" w:cs="Arial"/>
        </w:rPr>
        <w:t>a ANP, no âmbito de sua função de agência reguladora do setor, detém</w:t>
      </w:r>
      <w:r>
        <w:rPr>
          <w:rFonts w:ascii="Arial" w:hAnsi="Arial" w:cs="Arial"/>
        </w:rPr>
        <w:t>:</w:t>
      </w:r>
      <w:r w:rsidRPr="00493E39">
        <w:rPr>
          <w:rFonts w:ascii="Arial" w:hAnsi="Arial" w:cs="Arial"/>
        </w:rPr>
        <w:t xml:space="preserve"> (i) a responsabilidade de implementar, em sua esfera de atribuições, a política nacional de petróleo, gás natural e </w:t>
      </w:r>
      <w:r w:rsidRPr="00EC5197">
        <w:rPr>
          <w:rFonts w:ascii="Arial" w:hAnsi="Arial" w:cs="Arial"/>
          <w:b/>
        </w:rPr>
        <w:t>biocombustíveis</w:t>
      </w:r>
      <w:r w:rsidRPr="00493E39">
        <w:rPr>
          <w:rFonts w:ascii="Arial" w:hAnsi="Arial" w:cs="Arial"/>
        </w:rPr>
        <w:t xml:space="preserve"> (incluindo aqui o </w:t>
      </w:r>
      <w:r w:rsidRPr="003305C1">
        <w:rPr>
          <w:rFonts w:ascii="Arial" w:hAnsi="Arial" w:cs="Arial"/>
        </w:rPr>
        <w:t>etanol</w:t>
      </w:r>
      <w:r w:rsidRPr="00493E39">
        <w:rPr>
          <w:rFonts w:ascii="Arial" w:hAnsi="Arial" w:cs="Arial"/>
        </w:rPr>
        <w:t xml:space="preserve">), </w:t>
      </w:r>
      <w:r w:rsidR="00D219E7">
        <w:rPr>
          <w:rFonts w:ascii="Arial" w:hAnsi="Arial" w:cs="Arial"/>
        </w:rPr>
        <w:t>dando-se</w:t>
      </w:r>
      <w:r w:rsidRPr="00493E39">
        <w:rPr>
          <w:rFonts w:ascii="Arial" w:hAnsi="Arial" w:cs="Arial"/>
        </w:rPr>
        <w:t xml:space="preserve"> </w:t>
      </w:r>
      <w:r w:rsidR="00935F95">
        <w:rPr>
          <w:rFonts w:ascii="Arial" w:hAnsi="Arial" w:cs="Arial"/>
        </w:rPr>
        <w:t>ênfase à</w:t>
      </w:r>
      <w:r w:rsidRPr="003305C1">
        <w:rPr>
          <w:rFonts w:ascii="Arial" w:hAnsi="Arial" w:cs="Arial"/>
        </w:rPr>
        <w:t xml:space="preserve"> garantia do suprimento</w:t>
      </w:r>
      <w:r w:rsidRPr="00493E39">
        <w:rPr>
          <w:rFonts w:ascii="Arial" w:hAnsi="Arial" w:cs="Arial"/>
        </w:rPr>
        <w:t xml:space="preserve"> de petróleo, gás natural e seus derivados, e de </w:t>
      </w:r>
      <w:r w:rsidRPr="00762A9E">
        <w:rPr>
          <w:rFonts w:ascii="Arial" w:hAnsi="Arial" w:cs="Arial"/>
          <w:b/>
        </w:rPr>
        <w:t>biocombustíveis</w:t>
      </w:r>
      <w:r w:rsidR="003674F7">
        <w:rPr>
          <w:rFonts w:ascii="Arial" w:hAnsi="Arial" w:cs="Arial"/>
        </w:rPr>
        <w:t>, para todo o território nacional;</w:t>
      </w:r>
      <w:r w:rsidRPr="00493E39">
        <w:rPr>
          <w:rFonts w:ascii="Arial" w:hAnsi="Arial" w:cs="Arial"/>
        </w:rPr>
        <w:t xml:space="preserve"> assim como </w:t>
      </w:r>
      <w:r w:rsidR="003674F7">
        <w:rPr>
          <w:rFonts w:ascii="Arial" w:hAnsi="Arial" w:cs="Arial"/>
        </w:rPr>
        <w:t>à</w:t>
      </w:r>
      <w:r w:rsidRPr="00493E39">
        <w:rPr>
          <w:rFonts w:ascii="Arial" w:hAnsi="Arial" w:cs="Arial"/>
        </w:rPr>
        <w:t xml:space="preserve"> </w:t>
      </w:r>
      <w:r w:rsidRPr="00762A9E">
        <w:rPr>
          <w:rFonts w:ascii="Arial" w:hAnsi="Arial" w:cs="Arial"/>
          <w:b/>
        </w:rPr>
        <w:t>proteção dos interesses dos consumidores quanto a preço, qualidade e oferta dos produtos</w:t>
      </w:r>
      <w:r w:rsidRPr="00493E39">
        <w:rPr>
          <w:rFonts w:ascii="Arial" w:hAnsi="Arial" w:cs="Arial"/>
        </w:rPr>
        <w:t xml:space="preserve">; e (b) as funções de regular, autorizar e fiscalizar, diretamente ou mediante convênios com outros órgãos da União, </w:t>
      </w:r>
      <w:r w:rsidRPr="00493E39">
        <w:rPr>
          <w:rFonts w:ascii="Arial" w:hAnsi="Arial" w:cs="Arial"/>
        </w:rPr>
        <w:lastRenderedPageBreak/>
        <w:t xml:space="preserve">Estados, Distrito Federal ou Municípios, as atividades relacionadas </w:t>
      </w:r>
      <w:r w:rsidR="00DA22B5">
        <w:rPr>
          <w:rFonts w:ascii="Arial" w:hAnsi="Arial" w:cs="Arial"/>
        </w:rPr>
        <w:t>a</w:t>
      </w:r>
      <w:r w:rsidRPr="00493E39">
        <w:rPr>
          <w:rFonts w:ascii="Arial" w:hAnsi="Arial" w:cs="Arial"/>
        </w:rPr>
        <w:t xml:space="preserve"> </w:t>
      </w:r>
      <w:r w:rsidRPr="003305C1">
        <w:rPr>
          <w:rFonts w:ascii="Arial" w:hAnsi="Arial" w:cs="Arial"/>
        </w:rPr>
        <w:t>produção,</w:t>
      </w:r>
      <w:r w:rsidRPr="00493E39">
        <w:rPr>
          <w:rFonts w:ascii="Arial" w:hAnsi="Arial" w:cs="Arial"/>
        </w:rPr>
        <w:t xml:space="preserve"> importação, exportação, armazenagem, estocagem, transporte, transferência, distribuição, </w:t>
      </w:r>
      <w:r w:rsidRPr="003305C1">
        <w:rPr>
          <w:rFonts w:ascii="Arial" w:hAnsi="Arial" w:cs="Arial"/>
        </w:rPr>
        <w:t xml:space="preserve">revenda e comercialização de </w:t>
      </w:r>
      <w:r w:rsidRPr="00762A9E">
        <w:rPr>
          <w:rFonts w:ascii="Arial" w:hAnsi="Arial" w:cs="Arial"/>
          <w:b/>
        </w:rPr>
        <w:t>biocombustíveis</w:t>
      </w:r>
      <w:r w:rsidRPr="00493E39">
        <w:rPr>
          <w:rFonts w:ascii="Arial" w:hAnsi="Arial" w:cs="Arial"/>
        </w:rPr>
        <w:t xml:space="preserve">, além da avaliação de conformidade e certificação de sua qualidade. </w:t>
      </w:r>
    </w:p>
    <w:p w:rsidR="00287C67" w:rsidRPr="00493E39" w:rsidRDefault="00287C67" w:rsidP="003305C1">
      <w:pPr>
        <w:ind w:firstLine="708"/>
        <w:jc w:val="both"/>
        <w:rPr>
          <w:rFonts w:ascii="Arial" w:hAnsi="Arial" w:cs="Arial"/>
        </w:rPr>
      </w:pPr>
    </w:p>
    <w:p w:rsidR="007C1817" w:rsidRDefault="007C1817" w:rsidP="003305C1">
      <w:pPr>
        <w:ind w:firstLine="708"/>
        <w:jc w:val="both"/>
        <w:rPr>
          <w:rFonts w:ascii="Arial" w:hAnsi="Arial" w:cs="Arial"/>
        </w:rPr>
      </w:pPr>
      <w:r w:rsidRPr="007C1817">
        <w:rPr>
          <w:rFonts w:ascii="Arial" w:hAnsi="Arial" w:cs="Arial"/>
        </w:rPr>
        <w:t>Ainda</w:t>
      </w:r>
      <w:r w:rsidRPr="003305C1">
        <w:rPr>
          <w:rFonts w:ascii="Arial" w:hAnsi="Arial" w:cs="Arial"/>
        </w:rPr>
        <w:t xml:space="preserve"> </w:t>
      </w:r>
      <w:r w:rsidRPr="007C1817">
        <w:rPr>
          <w:rFonts w:ascii="Arial" w:hAnsi="Arial" w:cs="Arial"/>
        </w:rPr>
        <w:t xml:space="preserve">no âmbito da definição da política energética nacional, foi determinado, no artigo 68-A da Lei do Petróleo, que qualquer empresa ou consórcio de empresas constituídas sob as leis brasileiras poderá obter autorização da ANP para exercer as atividades econômicas da indústria de </w:t>
      </w:r>
      <w:r w:rsidRPr="003305C1">
        <w:rPr>
          <w:rFonts w:ascii="Arial" w:hAnsi="Arial" w:cs="Arial"/>
        </w:rPr>
        <w:t>biocombustíveis</w:t>
      </w:r>
      <w:r w:rsidRPr="007C1817">
        <w:rPr>
          <w:rFonts w:ascii="Arial" w:hAnsi="Arial" w:cs="Arial"/>
        </w:rPr>
        <w:t xml:space="preserve">, sendo que essas autorizações </w:t>
      </w:r>
      <w:r w:rsidRPr="003305C1">
        <w:rPr>
          <w:rFonts w:ascii="Arial" w:hAnsi="Arial" w:cs="Arial"/>
        </w:rPr>
        <w:t xml:space="preserve">destinam-se </w:t>
      </w:r>
      <w:r w:rsidRPr="007C1817">
        <w:rPr>
          <w:rFonts w:ascii="Arial" w:hAnsi="Arial" w:cs="Arial"/>
        </w:rPr>
        <w:t xml:space="preserve">a permitir a </w:t>
      </w:r>
      <w:r w:rsidRPr="00730196">
        <w:rPr>
          <w:rFonts w:ascii="Arial" w:hAnsi="Arial" w:cs="Arial"/>
          <w:b/>
        </w:rPr>
        <w:t>exploração das atividades econômicas em</w:t>
      </w:r>
      <w:r w:rsidRPr="003305C1">
        <w:rPr>
          <w:rFonts w:ascii="Arial" w:hAnsi="Arial" w:cs="Arial"/>
        </w:rPr>
        <w:t xml:space="preserve"> </w:t>
      </w:r>
      <w:r w:rsidRPr="003674F7">
        <w:rPr>
          <w:rFonts w:ascii="Arial" w:hAnsi="Arial" w:cs="Arial"/>
          <w:b/>
        </w:rPr>
        <w:t xml:space="preserve">regime de </w:t>
      </w:r>
      <w:r w:rsidRPr="00730196">
        <w:rPr>
          <w:rFonts w:ascii="Arial" w:hAnsi="Arial" w:cs="Arial"/>
          <w:b/>
          <w:u w:val="single"/>
        </w:rPr>
        <w:t>livre iniciativa</w:t>
      </w:r>
      <w:r w:rsidRPr="003674F7">
        <w:rPr>
          <w:rFonts w:ascii="Arial" w:hAnsi="Arial" w:cs="Arial"/>
          <w:b/>
        </w:rPr>
        <w:t xml:space="preserve"> e </w:t>
      </w:r>
      <w:r w:rsidRPr="00730196">
        <w:rPr>
          <w:rFonts w:ascii="Arial" w:hAnsi="Arial" w:cs="Arial"/>
          <w:b/>
          <w:u w:val="single"/>
        </w:rPr>
        <w:t>ampla competição</w:t>
      </w:r>
      <w:r w:rsidRPr="003674F7">
        <w:rPr>
          <w:rFonts w:ascii="Arial" w:hAnsi="Arial" w:cs="Arial"/>
          <w:b/>
        </w:rPr>
        <w:t xml:space="preserve">, nos termos da </w:t>
      </w:r>
      <w:r w:rsidRPr="00730196">
        <w:rPr>
          <w:rFonts w:ascii="Arial" w:hAnsi="Arial" w:cs="Arial"/>
          <w:b/>
          <w:u w:val="single"/>
        </w:rPr>
        <w:t>legislação específica</w:t>
      </w:r>
      <w:r w:rsidR="0064782E">
        <w:rPr>
          <w:rFonts w:ascii="Arial" w:hAnsi="Arial" w:cs="Arial"/>
        </w:rPr>
        <w:t>.</w:t>
      </w:r>
    </w:p>
    <w:p w:rsidR="00287C67" w:rsidRDefault="00287C67" w:rsidP="003305C1">
      <w:pPr>
        <w:ind w:firstLine="708"/>
        <w:jc w:val="both"/>
        <w:rPr>
          <w:rFonts w:ascii="Arial" w:hAnsi="Arial" w:cs="Arial"/>
        </w:rPr>
      </w:pPr>
    </w:p>
    <w:p w:rsidR="0064782E" w:rsidRDefault="00C1540C" w:rsidP="003305C1">
      <w:pPr>
        <w:ind w:firstLine="708"/>
        <w:jc w:val="both"/>
        <w:rPr>
          <w:rFonts w:ascii="Arial" w:hAnsi="Arial" w:cs="Arial"/>
        </w:rPr>
      </w:pPr>
      <w:r>
        <w:rPr>
          <w:rFonts w:ascii="Arial" w:hAnsi="Arial" w:cs="Arial"/>
        </w:rPr>
        <w:t xml:space="preserve">Observa-se, </w:t>
      </w:r>
      <w:r w:rsidRPr="00DA22B5">
        <w:rPr>
          <w:rFonts w:ascii="Arial" w:hAnsi="Arial" w:cs="Arial"/>
          <w:u w:val="single"/>
        </w:rPr>
        <w:t>contudo</w:t>
      </w:r>
      <w:r w:rsidR="008078F1">
        <w:rPr>
          <w:rFonts w:ascii="Arial" w:hAnsi="Arial" w:cs="Arial"/>
        </w:rPr>
        <w:t>, que</w:t>
      </w:r>
      <w:r>
        <w:rPr>
          <w:rFonts w:ascii="Arial" w:hAnsi="Arial" w:cs="Arial"/>
        </w:rPr>
        <w:t xml:space="preserve"> ao</w:t>
      </w:r>
      <w:r w:rsidR="0064782E">
        <w:rPr>
          <w:rFonts w:ascii="Arial" w:hAnsi="Arial" w:cs="Arial"/>
        </w:rPr>
        <w:t xml:space="preserve"> definir o modelo regulatório para o setor </w:t>
      </w:r>
      <w:r>
        <w:rPr>
          <w:rFonts w:ascii="Arial" w:hAnsi="Arial" w:cs="Arial"/>
        </w:rPr>
        <w:t>de produção, distribuição</w:t>
      </w:r>
      <w:r w:rsidR="00211595">
        <w:rPr>
          <w:rFonts w:ascii="Arial" w:hAnsi="Arial" w:cs="Arial"/>
        </w:rPr>
        <w:t xml:space="preserve">, comercialização e revenda de biocombustíveis, especialmente do etanol, a ANP decidiu, no início de seus trabalhos, pela </w:t>
      </w:r>
      <w:r w:rsidR="00211595" w:rsidRPr="00DA22B5">
        <w:rPr>
          <w:rFonts w:ascii="Arial" w:hAnsi="Arial" w:cs="Arial"/>
          <w:u w:val="single"/>
        </w:rPr>
        <w:t>especializaç</w:t>
      </w:r>
      <w:r w:rsidR="0003623B" w:rsidRPr="00DA22B5">
        <w:rPr>
          <w:rFonts w:ascii="Arial" w:hAnsi="Arial" w:cs="Arial"/>
          <w:u w:val="single"/>
        </w:rPr>
        <w:t>ão das atividades</w:t>
      </w:r>
      <w:r w:rsidR="00F9574B">
        <w:rPr>
          <w:rFonts w:ascii="Arial" w:hAnsi="Arial" w:cs="Arial"/>
        </w:rPr>
        <w:t>. Nesse contexto,</w:t>
      </w:r>
      <w:r w:rsidR="0003623B">
        <w:rPr>
          <w:rFonts w:ascii="Arial" w:hAnsi="Arial" w:cs="Arial"/>
        </w:rPr>
        <w:t xml:space="preserve"> </w:t>
      </w:r>
      <w:r w:rsidR="00F9574B">
        <w:rPr>
          <w:rFonts w:ascii="Arial" w:hAnsi="Arial" w:cs="Arial"/>
        </w:rPr>
        <w:t>as usinas de açúcar e álcool ficariam exclusivamente responsáveis pela produção</w:t>
      </w:r>
      <w:r w:rsidR="00DA22B5">
        <w:rPr>
          <w:rFonts w:ascii="Arial" w:hAnsi="Arial" w:cs="Arial"/>
        </w:rPr>
        <w:t xml:space="preserve"> do</w:t>
      </w:r>
      <w:r w:rsidR="00F9574B">
        <w:rPr>
          <w:rFonts w:ascii="Arial" w:hAnsi="Arial" w:cs="Arial"/>
        </w:rPr>
        <w:t xml:space="preserve"> etanol hidratado e anidro e </w:t>
      </w:r>
      <w:r w:rsidR="006A393B">
        <w:rPr>
          <w:rFonts w:ascii="Arial" w:hAnsi="Arial" w:cs="Arial"/>
        </w:rPr>
        <w:t xml:space="preserve">as refinarias pela produção </w:t>
      </w:r>
      <w:r w:rsidR="00F9574B">
        <w:rPr>
          <w:rFonts w:ascii="Arial" w:hAnsi="Arial" w:cs="Arial"/>
        </w:rPr>
        <w:t>d</w:t>
      </w:r>
      <w:r w:rsidR="00DA22B5">
        <w:rPr>
          <w:rFonts w:ascii="Arial" w:hAnsi="Arial" w:cs="Arial"/>
        </w:rPr>
        <w:t>a</w:t>
      </w:r>
      <w:r w:rsidR="00F9574B">
        <w:rPr>
          <w:rFonts w:ascii="Arial" w:hAnsi="Arial" w:cs="Arial"/>
        </w:rPr>
        <w:t xml:space="preserve"> gasolina, diesel e outros derivados de petróleo; </w:t>
      </w:r>
      <w:r w:rsidR="0003623B">
        <w:rPr>
          <w:rFonts w:ascii="Arial" w:hAnsi="Arial" w:cs="Arial"/>
        </w:rPr>
        <w:t>as distribuidoras ficariam responsáveis pela</w:t>
      </w:r>
      <w:r w:rsidR="00216375">
        <w:rPr>
          <w:rFonts w:ascii="Arial" w:hAnsi="Arial" w:cs="Arial"/>
        </w:rPr>
        <w:t xml:space="preserve"> </w:t>
      </w:r>
      <w:r w:rsidR="006A393B">
        <w:rPr>
          <w:rFonts w:ascii="Arial" w:hAnsi="Arial" w:cs="Arial"/>
        </w:rPr>
        <w:t xml:space="preserve">armazenagem e </w:t>
      </w:r>
      <w:r w:rsidR="00216375">
        <w:rPr>
          <w:rFonts w:ascii="Arial" w:hAnsi="Arial" w:cs="Arial"/>
        </w:rPr>
        <w:t>distribuição do etanol hidratado</w:t>
      </w:r>
      <w:r w:rsidR="00F9574B">
        <w:rPr>
          <w:rFonts w:ascii="Arial" w:hAnsi="Arial" w:cs="Arial"/>
        </w:rPr>
        <w:t>, produzido pelas usinas</w:t>
      </w:r>
      <w:r w:rsidR="00216375">
        <w:rPr>
          <w:rFonts w:ascii="Arial" w:hAnsi="Arial" w:cs="Arial"/>
        </w:rPr>
        <w:t xml:space="preserve">, </w:t>
      </w:r>
      <w:r w:rsidR="00490DEA">
        <w:rPr>
          <w:rFonts w:ascii="Arial" w:hAnsi="Arial" w:cs="Arial"/>
        </w:rPr>
        <w:t xml:space="preserve">e </w:t>
      </w:r>
      <w:r w:rsidR="00216375">
        <w:rPr>
          <w:rFonts w:ascii="Arial" w:hAnsi="Arial" w:cs="Arial"/>
        </w:rPr>
        <w:t>gasolina C, diesel e outros derivados de petróleo</w:t>
      </w:r>
      <w:r w:rsidR="00490DEA">
        <w:rPr>
          <w:rFonts w:ascii="Arial" w:hAnsi="Arial" w:cs="Arial"/>
        </w:rPr>
        <w:t>,</w:t>
      </w:r>
      <w:r w:rsidR="00F9574B">
        <w:rPr>
          <w:rFonts w:ascii="Arial" w:hAnsi="Arial" w:cs="Arial"/>
        </w:rPr>
        <w:t xml:space="preserve"> produzidos </w:t>
      </w:r>
      <w:r w:rsidR="00490DEA">
        <w:rPr>
          <w:rFonts w:ascii="Arial" w:hAnsi="Arial" w:cs="Arial"/>
        </w:rPr>
        <w:t>pelas refinarias</w:t>
      </w:r>
      <w:r w:rsidR="00216375">
        <w:rPr>
          <w:rFonts w:ascii="Arial" w:hAnsi="Arial" w:cs="Arial"/>
        </w:rPr>
        <w:t>; e os revendedores</w:t>
      </w:r>
      <w:r w:rsidR="00EA71E5">
        <w:rPr>
          <w:rFonts w:ascii="Arial" w:hAnsi="Arial" w:cs="Arial"/>
        </w:rPr>
        <w:t>,</w:t>
      </w:r>
      <w:r w:rsidR="00216375">
        <w:rPr>
          <w:rFonts w:ascii="Arial" w:hAnsi="Arial" w:cs="Arial"/>
        </w:rPr>
        <w:t xml:space="preserve"> </w:t>
      </w:r>
      <w:r w:rsidR="00490DEA">
        <w:rPr>
          <w:rFonts w:ascii="Arial" w:hAnsi="Arial" w:cs="Arial"/>
        </w:rPr>
        <w:t>pel</w:t>
      </w:r>
      <w:r w:rsidR="00216375">
        <w:rPr>
          <w:rFonts w:ascii="Arial" w:hAnsi="Arial" w:cs="Arial"/>
        </w:rPr>
        <w:t>a comercialização desses combustíveis ao consumidor final (propriet</w:t>
      </w:r>
      <w:r w:rsidR="007E1AF9">
        <w:rPr>
          <w:rFonts w:ascii="Arial" w:hAnsi="Arial" w:cs="Arial"/>
        </w:rPr>
        <w:t>ários de automóveis de passeio, motocicletas, utilitários, caminhões, ônibus etc.).</w:t>
      </w:r>
      <w:r w:rsidR="006A393B">
        <w:rPr>
          <w:rFonts w:ascii="Arial" w:hAnsi="Arial" w:cs="Arial"/>
        </w:rPr>
        <w:t xml:space="preserve"> Haveria ainda a figura do importador de combustíveis, sendo que esta importação fora vedada, inicialmente, às distribuidoras. Ou seja, apenas os produtores e importadores independentes poderiam realizar esta atividade.</w:t>
      </w:r>
    </w:p>
    <w:p w:rsidR="00287C67" w:rsidRDefault="00287C67" w:rsidP="003305C1">
      <w:pPr>
        <w:ind w:firstLine="708"/>
        <w:jc w:val="both"/>
        <w:rPr>
          <w:rFonts w:ascii="Arial" w:hAnsi="Arial" w:cs="Arial"/>
        </w:rPr>
      </w:pPr>
    </w:p>
    <w:p w:rsidR="007E1AF9" w:rsidRDefault="007E1AF9" w:rsidP="00490DEA">
      <w:pPr>
        <w:ind w:firstLine="708"/>
        <w:jc w:val="both"/>
        <w:rPr>
          <w:rFonts w:ascii="Arial" w:hAnsi="Arial" w:cs="Arial"/>
        </w:rPr>
      </w:pPr>
      <w:r>
        <w:rPr>
          <w:rFonts w:ascii="Arial" w:hAnsi="Arial" w:cs="Arial"/>
        </w:rPr>
        <w:t xml:space="preserve">À época da formatação deste modelo </w:t>
      </w:r>
      <w:r w:rsidR="003B4C2E">
        <w:rPr>
          <w:rFonts w:ascii="Arial" w:hAnsi="Arial" w:cs="Arial"/>
        </w:rPr>
        <w:t>regulatório</w:t>
      </w:r>
      <w:r w:rsidR="00EF5F21">
        <w:rPr>
          <w:rFonts w:ascii="Arial" w:hAnsi="Arial" w:cs="Arial"/>
        </w:rPr>
        <w:t>,</w:t>
      </w:r>
      <w:r w:rsidR="003B4C2E">
        <w:rPr>
          <w:rFonts w:ascii="Arial" w:hAnsi="Arial" w:cs="Arial"/>
        </w:rPr>
        <w:t xml:space="preserve"> baseado na “especificidade dos agentes” dentro da cadeia, iniciavam-se as pesquisas para o “</w:t>
      </w:r>
      <w:r w:rsidR="003B4C2E" w:rsidRPr="00DA22B5">
        <w:rPr>
          <w:rFonts w:ascii="Arial" w:hAnsi="Arial" w:cs="Arial"/>
          <w:u w:val="single"/>
        </w:rPr>
        <w:t>veículo flex</w:t>
      </w:r>
      <w:r w:rsidR="003B4C2E">
        <w:rPr>
          <w:rFonts w:ascii="Arial" w:hAnsi="Arial" w:cs="Arial"/>
        </w:rPr>
        <w:t>” (automóveis e motocicletas)</w:t>
      </w:r>
      <w:r w:rsidR="00490DEA">
        <w:rPr>
          <w:rFonts w:ascii="Arial" w:hAnsi="Arial" w:cs="Arial"/>
        </w:rPr>
        <w:t>, o qual</w:t>
      </w:r>
      <w:r w:rsidR="00FB026D">
        <w:rPr>
          <w:rFonts w:ascii="Arial" w:hAnsi="Arial" w:cs="Arial"/>
        </w:rPr>
        <w:t xml:space="preserve"> garanti</w:t>
      </w:r>
      <w:r w:rsidR="00490DEA">
        <w:rPr>
          <w:rFonts w:ascii="Arial" w:hAnsi="Arial" w:cs="Arial"/>
        </w:rPr>
        <w:t>u</w:t>
      </w:r>
      <w:r w:rsidR="00FB026D">
        <w:rPr>
          <w:rFonts w:ascii="Arial" w:hAnsi="Arial" w:cs="Arial"/>
        </w:rPr>
        <w:t xml:space="preserve"> a </w:t>
      </w:r>
      <w:r w:rsidR="00FB026D" w:rsidRPr="00DA22B5">
        <w:rPr>
          <w:rFonts w:ascii="Arial" w:hAnsi="Arial" w:cs="Arial"/>
          <w:u w:val="single"/>
        </w:rPr>
        <w:t>substituição perfeita</w:t>
      </w:r>
      <w:r w:rsidR="00FB026D">
        <w:rPr>
          <w:rFonts w:ascii="Arial" w:hAnsi="Arial" w:cs="Arial"/>
        </w:rPr>
        <w:t xml:space="preserve"> </w:t>
      </w:r>
      <w:r w:rsidR="00490DEA">
        <w:rPr>
          <w:rFonts w:ascii="Arial" w:hAnsi="Arial" w:cs="Arial"/>
        </w:rPr>
        <w:t xml:space="preserve">entre </w:t>
      </w:r>
      <w:r w:rsidR="00FB026D">
        <w:rPr>
          <w:rFonts w:ascii="Arial" w:hAnsi="Arial" w:cs="Arial"/>
        </w:rPr>
        <w:t xml:space="preserve">a gasolina C </w:t>
      </w:r>
      <w:r w:rsidR="00490DEA">
        <w:rPr>
          <w:rFonts w:ascii="Arial" w:hAnsi="Arial" w:cs="Arial"/>
        </w:rPr>
        <w:t>e o</w:t>
      </w:r>
      <w:r w:rsidR="00FB026D">
        <w:rPr>
          <w:rFonts w:ascii="Arial" w:hAnsi="Arial" w:cs="Arial"/>
        </w:rPr>
        <w:t xml:space="preserve"> etanol hidratado e, vice-versa. E</w:t>
      </w:r>
      <w:r w:rsidR="00AE236E">
        <w:rPr>
          <w:rFonts w:ascii="Arial" w:hAnsi="Arial" w:cs="Arial"/>
        </w:rPr>
        <w:t xml:space="preserve">sta substituição </w:t>
      </w:r>
      <w:r w:rsidR="00FB026D">
        <w:rPr>
          <w:rFonts w:ascii="Arial" w:hAnsi="Arial" w:cs="Arial"/>
        </w:rPr>
        <w:t xml:space="preserve">parece, no entanto, não ter sido </w:t>
      </w:r>
      <w:r w:rsidR="00AE236E">
        <w:rPr>
          <w:rFonts w:ascii="Arial" w:hAnsi="Arial" w:cs="Arial"/>
        </w:rPr>
        <w:t>objeto de análise e discussão n</w:t>
      </w:r>
      <w:r w:rsidR="00490DEA">
        <w:rPr>
          <w:rFonts w:ascii="Arial" w:hAnsi="Arial" w:cs="Arial"/>
        </w:rPr>
        <w:t>o momento da formatação dessa política de especialização</w:t>
      </w:r>
      <w:r w:rsidR="00FB026D">
        <w:rPr>
          <w:rFonts w:ascii="Arial" w:hAnsi="Arial" w:cs="Arial"/>
        </w:rPr>
        <w:t xml:space="preserve">, dado que </w:t>
      </w:r>
      <w:r w:rsidR="00FB026D" w:rsidRPr="00E731A1">
        <w:rPr>
          <w:rFonts w:ascii="Arial" w:hAnsi="Arial" w:cs="Arial"/>
          <w:b/>
        </w:rPr>
        <w:t xml:space="preserve">a regulação </w:t>
      </w:r>
      <w:r w:rsidR="001101FD" w:rsidRPr="00E731A1">
        <w:rPr>
          <w:rFonts w:ascii="Arial" w:hAnsi="Arial" w:cs="Arial"/>
          <w:b/>
        </w:rPr>
        <w:t>setorial deixou de considerar</w:t>
      </w:r>
      <w:r w:rsidR="001101FD">
        <w:rPr>
          <w:rFonts w:ascii="Arial" w:hAnsi="Arial" w:cs="Arial"/>
        </w:rPr>
        <w:t xml:space="preserve">, por exemplo, </w:t>
      </w:r>
      <w:r w:rsidR="001101FD" w:rsidRPr="00E731A1">
        <w:rPr>
          <w:rFonts w:ascii="Arial" w:hAnsi="Arial" w:cs="Arial"/>
          <w:b/>
        </w:rPr>
        <w:t>o produtor do etanol hidratado como um agente capaz de ofertar diretamente o seu produto a revendedores</w:t>
      </w:r>
      <w:r w:rsidR="001101FD">
        <w:rPr>
          <w:rFonts w:ascii="Arial" w:hAnsi="Arial" w:cs="Arial"/>
        </w:rPr>
        <w:t xml:space="preserve"> e, portanto, de ser um </w:t>
      </w:r>
      <w:r w:rsidR="001101FD" w:rsidRPr="00E731A1">
        <w:rPr>
          <w:rFonts w:ascii="Arial" w:hAnsi="Arial" w:cs="Arial"/>
          <w:b/>
        </w:rPr>
        <w:t xml:space="preserve">agente ativo </w:t>
      </w:r>
      <w:r w:rsidR="00E731A1">
        <w:rPr>
          <w:rFonts w:ascii="Arial" w:hAnsi="Arial" w:cs="Arial"/>
          <w:b/>
        </w:rPr>
        <w:t xml:space="preserve">para a contribuição e </w:t>
      </w:r>
      <w:r w:rsidR="001101FD" w:rsidRPr="00E731A1">
        <w:rPr>
          <w:rFonts w:ascii="Arial" w:hAnsi="Arial" w:cs="Arial"/>
          <w:b/>
        </w:rPr>
        <w:t xml:space="preserve"> definição da oferta deste produto no mercado</w:t>
      </w:r>
      <w:r w:rsidR="00E731A1">
        <w:rPr>
          <w:rFonts w:ascii="Arial" w:hAnsi="Arial" w:cs="Arial"/>
          <w:b/>
        </w:rPr>
        <w:t xml:space="preserve"> nacional</w:t>
      </w:r>
      <w:r w:rsidR="00AE236E">
        <w:rPr>
          <w:rFonts w:ascii="Arial" w:hAnsi="Arial" w:cs="Arial"/>
        </w:rPr>
        <w:t xml:space="preserve">. Também </w:t>
      </w:r>
      <w:r w:rsidR="001101FD">
        <w:rPr>
          <w:rFonts w:ascii="Arial" w:hAnsi="Arial" w:cs="Arial"/>
        </w:rPr>
        <w:t xml:space="preserve">parece </w:t>
      </w:r>
      <w:r w:rsidR="00AE236E">
        <w:rPr>
          <w:rFonts w:ascii="Arial" w:hAnsi="Arial" w:cs="Arial"/>
        </w:rPr>
        <w:t xml:space="preserve">não </w:t>
      </w:r>
      <w:r w:rsidR="001101FD">
        <w:rPr>
          <w:rFonts w:ascii="Arial" w:hAnsi="Arial" w:cs="Arial"/>
        </w:rPr>
        <w:t>ter sido</w:t>
      </w:r>
      <w:r w:rsidR="00AE236E">
        <w:rPr>
          <w:rFonts w:ascii="Arial" w:hAnsi="Arial" w:cs="Arial"/>
        </w:rPr>
        <w:t xml:space="preserve"> objeto de discussão e análise </w:t>
      </w:r>
      <w:r w:rsidR="007B704F">
        <w:rPr>
          <w:rFonts w:ascii="Arial" w:hAnsi="Arial" w:cs="Arial"/>
        </w:rPr>
        <w:t xml:space="preserve">a possibilidade de o </w:t>
      </w:r>
      <w:r w:rsidR="007B704F" w:rsidRPr="00E731A1">
        <w:rPr>
          <w:rFonts w:ascii="Arial" w:hAnsi="Arial" w:cs="Arial"/>
          <w:b/>
        </w:rPr>
        <w:t>segmento da distribuição tornar-se um oligopólio</w:t>
      </w:r>
      <w:r w:rsidR="007B704F">
        <w:rPr>
          <w:rFonts w:ascii="Arial" w:hAnsi="Arial" w:cs="Arial"/>
        </w:rPr>
        <w:t xml:space="preserve"> formado por </w:t>
      </w:r>
      <w:r w:rsidR="007B704F" w:rsidRPr="00E731A1">
        <w:rPr>
          <w:rFonts w:ascii="Arial" w:hAnsi="Arial" w:cs="Arial"/>
          <w:b/>
        </w:rPr>
        <w:t>três grandes distribuidoras</w:t>
      </w:r>
      <w:r w:rsidR="00CE7E0B">
        <w:rPr>
          <w:rFonts w:ascii="Arial" w:hAnsi="Arial" w:cs="Arial"/>
        </w:rPr>
        <w:t>,</w:t>
      </w:r>
      <w:r w:rsidR="007B704F">
        <w:rPr>
          <w:rFonts w:ascii="Arial" w:hAnsi="Arial" w:cs="Arial"/>
        </w:rPr>
        <w:t xml:space="preserve"> que</w:t>
      </w:r>
      <w:r w:rsidR="007E2F99">
        <w:rPr>
          <w:rFonts w:ascii="Arial" w:hAnsi="Arial" w:cs="Arial"/>
        </w:rPr>
        <w:t>, conjuntamente,</w:t>
      </w:r>
      <w:r w:rsidR="007B704F">
        <w:rPr>
          <w:rFonts w:ascii="Arial" w:hAnsi="Arial" w:cs="Arial"/>
        </w:rPr>
        <w:t xml:space="preserve"> controlam </w:t>
      </w:r>
      <w:r w:rsidR="00256A79">
        <w:rPr>
          <w:rFonts w:ascii="Arial" w:hAnsi="Arial" w:cs="Arial"/>
        </w:rPr>
        <w:t>mais</w:t>
      </w:r>
      <w:r w:rsidR="007E2F99">
        <w:rPr>
          <w:rFonts w:ascii="Arial" w:hAnsi="Arial" w:cs="Arial"/>
        </w:rPr>
        <w:t xml:space="preserve"> de</w:t>
      </w:r>
      <w:r w:rsidR="00F45D4E">
        <w:rPr>
          <w:rFonts w:ascii="Arial" w:hAnsi="Arial" w:cs="Arial"/>
        </w:rPr>
        <w:t xml:space="preserve"> </w:t>
      </w:r>
      <w:r w:rsidR="00F45D4E" w:rsidRPr="00CE7E0B">
        <w:rPr>
          <w:rFonts w:ascii="Arial" w:hAnsi="Arial" w:cs="Arial"/>
          <w:b/>
        </w:rPr>
        <w:t>6</w:t>
      </w:r>
      <w:r w:rsidR="007B704F" w:rsidRPr="00CE7E0B">
        <w:rPr>
          <w:rFonts w:ascii="Arial" w:hAnsi="Arial" w:cs="Arial"/>
          <w:b/>
        </w:rPr>
        <w:t>0% d</w:t>
      </w:r>
      <w:r w:rsidR="00F45D4E" w:rsidRPr="00CE7E0B">
        <w:rPr>
          <w:rFonts w:ascii="Arial" w:hAnsi="Arial" w:cs="Arial"/>
          <w:b/>
        </w:rPr>
        <w:t xml:space="preserve">a oferta </w:t>
      </w:r>
      <w:r w:rsidR="007B704F" w:rsidRPr="00CE7E0B">
        <w:rPr>
          <w:rFonts w:ascii="Arial" w:hAnsi="Arial" w:cs="Arial"/>
          <w:b/>
        </w:rPr>
        <w:t>total de combustíveis no país</w:t>
      </w:r>
      <w:r w:rsidR="0011795D">
        <w:rPr>
          <w:rFonts w:ascii="Arial" w:hAnsi="Arial" w:cs="Arial"/>
        </w:rPr>
        <w:t>.</w:t>
      </w:r>
    </w:p>
    <w:p w:rsidR="00287C67" w:rsidRDefault="00287C67" w:rsidP="003305C1">
      <w:pPr>
        <w:ind w:firstLine="708"/>
        <w:jc w:val="both"/>
        <w:rPr>
          <w:rFonts w:ascii="Arial" w:hAnsi="Arial" w:cs="Arial"/>
        </w:rPr>
      </w:pPr>
    </w:p>
    <w:p w:rsidR="0011795D" w:rsidRDefault="0011795D" w:rsidP="003305C1">
      <w:pPr>
        <w:ind w:firstLine="708"/>
        <w:jc w:val="both"/>
        <w:rPr>
          <w:rFonts w:ascii="Arial" w:hAnsi="Arial" w:cs="Arial"/>
        </w:rPr>
      </w:pPr>
      <w:r>
        <w:rPr>
          <w:rFonts w:ascii="Arial" w:hAnsi="Arial" w:cs="Arial"/>
        </w:rPr>
        <w:t>Ao contrário, naquela época, o que se pretendia</w:t>
      </w:r>
      <w:r w:rsidR="00CE7E0B">
        <w:rPr>
          <w:rFonts w:ascii="Arial" w:hAnsi="Arial" w:cs="Arial"/>
        </w:rPr>
        <w:t>,</w:t>
      </w:r>
      <w:r>
        <w:rPr>
          <w:rFonts w:ascii="Arial" w:hAnsi="Arial" w:cs="Arial"/>
        </w:rPr>
        <w:t xml:space="preserve"> </w:t>
      </w:r>
      <w:r w:rsidR="00DD1CD5">
        <w:rPr>
          <w:rFonts w:ascii="Arial" w:hAnsi="Arial" w:cs="Arial"/>
        </w:rPr>
        <w:t>aparentemente</w:t>
      </w:r>
      <w:r w:rsidR="00CE7E0B">
        <w:rPr>
          <w:rFonts w:ascii="Arial" w:hAnsi="Arial" w:cs="Arial"/>
        </w:rPr>
        <w:t>,</w:t>
      </w:r>
      <w:r w:rsidR="00DD1CD5">
        <w:rPr>
          <w:rFonts w:ascii="Arial" w:hAnsi="Arial" w:cs="Arial"/>
        </w:rPr>
        <w:t xml:space="preserve"> </w:t>
      </w:r>
      <w:r>
        <w:rPr>
          <w:rFonts w:ascii="Arial" w:hAnsi="Arial" w:cs="Arial"/>
        </w:rPr>
        <w:t xml:space="preserve">era conferir </w:t>
      </w:r>
      <w:r w:rsidRPr="00DD1CD5">
        <w:rPr>
          <w:rFonts w:ascii="Arial" w:hAnsi="Arial" w:cs="Arial"/>
          <w:b/>
        </w:rPr>
        <w:t xml:space="preserve">ao mercado a livre e ampla concorrência com </w:t>
      </w:r>
      <w:r w:rsidR="00BE4340" w:rsidRPr="00DD1CD5">
        <w:rPr>
          <w:rFonts w:ascii="Arial" w:hAnsi="Arial" w:cs="Arial"/>
          <w:b/>
        </w:rPr>
        <w:t xml:space="preserve">a entrada de novas distribuidoras, com e sem bandeira, a ampliação do número de postos revendedores e a liberação dos preços </w:t>
      </w:r>
      <w:r w:rsidR="00852858" w:rsidRPr="00DD1CD5">
        <w:rPr>
          <w:rFonts w:ascii="Arial" w:hAnsi="Arial" w:cs="Arial"/>
          <w:b/>
        </w:rPr>
        <w:t>dos combustíveis</w:t>
      </w:r>
      <w:r w:rsidR="00BE4340">
        <w:rPr>
          <w:rFonts w:ascii="Arial" w:hAnsi="Arial" w:cs="Arial"/>
        </w:rPr>
        <w:t>. Este ambiente de concorrência chegou a ser</w:t>
      </w:r>
      <w:r w:rsidR="00DD1CD5">
        <w:rPr>
          <w:rFonts w:ascii="Arial" w:hAnsi="Arial" w:cs="Arial"/>
        </w:rPr>
        <w:t>, em maior ou menor grau,</w:t>
      </w:r>
      <w:r w:rsidR="006A393B">
        <w:rPr>
          <w:rFonts w:ascii="Arial" w:hAnsi="Arial" w:cs="Arial"/>
        </w:rPr>
        <w:t xml:space="preserve"> verificado </w:t>
      </w:r>
      <w:r w:rsidR="00AB26F0">
        <w:rPr>
          <w:rFonts w:ascii="Arial" w:hAnsi="Arial" w:cs="Arial"/>
        </w:rPr>
        <w:t xml:space="preserve">na primeira década deste século XXI, com a entrada e estabelecimento </w:t>
      </w:r>
      <w:r w:rsidR="00EF5F21">
        <w:rPr>
          <w:rFonts w:ascii="Arial" w:hAnsi="Arial" w:cs="Arial"/>
        </w:rPr>
        <w:t xml:space="preserve">no país </w:t>
      </w:r>
      <w:r w:rsidR="00AB26F0">
        <w:rPr>
          <w:rFonts w:ascii="Arial" w:hAnsi="Arial" w:cs="Arial"/>
        </w:rPr>
        <w:t xml:space="preserve">de novas distribuidoras, </w:t>
      </w:r>
      <w:r w:rsidR="00EF5F21">
        <w:rPr>
          <w:rFonts w:ascii="Arial" w:hAnsi="Arial" w:cs="Arial"/>
        </w:rPr>
        <w:t>bandeiradas ou não</w:t>
      </w:r>
      <w:r w:rsidR="00852858">
        <w:rPr>
          <w:rFonts w:ascii="Arial" w:hAnsi="Arial" w:cs="Arial"/>
        </w:rPr>
        <w:t xml:space="preserve">, </w:t>
      </w:r>
      <w:r w:rsidR="00AB26F0">
        <w:rPr>
          <w:rFonts w:ascii="Arial" w:hAnsi="Arial" w:cs="Arial"/>
        </w:rPr>
        <w:t xml:space="preserve">bem como </w:t>
      </w:r>
      <w:r w:rsidR="00EF5F21">
        <w:rPr>
          <w:rFonts w:ascii="Arial" w:hAnsi="Arial" w:cs="Arial"/>
        </w:rPr>
        <w:t xml:space="preserve">pela ampliação no número </w:t>
      </w:r>
      <w:r w:rsidR="00F45D4E">
        <w:rPr>
          <w:rFonts w:ascii="Arial" w:hAnsi="Arial" w:cs="Arial"/>
        </w:rPr>
        <w:t>de postos revendedores</w:t>
      </w:r>
      <w:r w:rsidR="00EF5F21">
        <w:rPr>
          <w:rFonts w:ascii="Arial" w:hAnsi="Arial" w:cs="Arial"/>
        </w:rPr>
        <w:t xml:space="preserve"> sem bandeira</w:t>
      </w:r>
      <w:r w:rsidR="00852858">
        <w:rPr>
          <w:rFonts w:ascii="Arial" w:hAnsi="Arial" w:cs="Arial"/>
        </w:rPr>
        <w:t>.</w:t>
      </w:r>
    </w:p>
    <w:p w:rsidR="00287C67" w:rsidRDefault="00AB26F0" w:rsidP="003305C1">
      <w:pPr>
        <w:ind w:firstLine="708"/>
        <w:jc w:val="both"/>
        <w:rPr>
          <w:rFonts w:ascii="Arial" w:hAnsi="Arial" w:cs="Arial"/>
        </w:rPr>
      </w:pPr>
      <w:r>
        <w:rPr>
          <w:rFonts w:ascii="Arial" w:hAnsi="Arial" w:cs="Arial"/>
        </w:rPr>
        <w:lastRenderedPageBreak/>
        <w:tab/>
      </w:r>
    </w:p>
    <w:p w:rsidR="007C1817" w:rsidRDefault="007E2F99" w:rsidP="003305C1">
      <w:pPr>
        <w:ind w:firstLine="708"/>
        <w:jc w:val="both"/>
        <w:rPr>
          <w:rFonts w:ascii="Arial" w:hAnsi="Arial" w:cs="Arial"/>
        </w:rPr>
      </w:pPr>
      <w:r>
        <w:rPr>
          <w:rFonts w:ascii="Arial" w:hAnsi="Arial" w:cs="Arial"/>
        </w:rPr>
        <w:t>E</w:t>
      </w:r>
      <w:r w:rsidR="00F45D4E">
        <w:rPr>
          <w:rFonts w:ascii="Arial" w:hAnsi="Arial" w:cs="Arial"/>
        </w:rPr>
        <w:t>ste movimento</w:t>
      </w:r>
      <w:r w:rsidR="00490DEA">
        <w:rPr>
          <w:rFonts w:ascii="Arial" w:hAnsi="Arial" w:cs="Arial"/>
        </w:rPr>
        <w:t xml:space="preserve"> e ambiente</w:t>
      </w:r>
      <w:r w:rsidR="00F45D4E">
        <w:rPr>
          <w:rFonts w:ascii="Arial" w:hAnsi="Arial" w:cs="Arial"/>
        </w:rPr>
        <w:t xml:space="preserve"> de </w:t>
      </w:r>
      <w:r w:rsidR="00F45D4E" w:rsidRPr="00490DEA">
        <w:rPr>
          <w:rFonts w:ascii="Arial" w:hAnsi="Arial" w:cs="Arial"/>
          <w:b/>
        </w:rPr>
        <w:t>ampla concorrência</w:t>
      </w:r>
      <w:r w:rsidR="00F45D4E">
        <w:rPr>
          <w:rFonts w:ascii="Arial" w:hAnsi="Arial" w:cs="Arial"/>
        </w:rPr>
        <w:t xml:space="preserve"> passou</w:t>
      </w:r>
      <w:r>
        <w:rPr>
          <w:rFonts w:ascii="Arial" w:hAnsi="Arial" w:cs="Arial"/>
        </w:rPr>
        <w:t>, contudo,</w:t>
      </w:r>
      <w:r w:rsidR="00F45D4E">
        <w:rPr>
          <w:rFonts w:ascii="Arial" w:hAnsi="Arial" w:cs="Arial"/>
        </w:rPr>
        <w:t xml:space="preserve"> a </w:t>
      </w:r>
      <w:r w:rsidR="00F45D4E" w:rsidRPr="00490DEA">
        <w:rPr>
          <w:rFonts w:ascii="Arial" w:hAnsi="Arial" w:cs="Arial"/>
          <w:b/>
        </w:rPr>
        <w:t>sofrer um revés</w:t>
      </w:r>
      <w:r w:rsidR="00F45D4E">
        <w:rPr>
          <w:rFonts w:ascii="Arial" w:hAnsi="Arial" w:cs="Arial"/>
        </w:rPr>
        <w:t xml:space="preserve">, com o incremento do </w:t>
      </w:r>
      <w:r w:rsidR="00F45D4E" w:rsidRPr="00490DEA">
        <w:rPr>
          <w:rFonts w:ascii="Arial" w:hAnsi="Arial" w:cs="Arial"/>
          <w:b/>
        </w:rPr>
        <w:t>processo de concentração no setor de distribuição</w:t>
      </w:r>
      <w:r w:rsidR="00E56AC0">
        <w:rPr>
          <w:rFonts w:ascii="Arial" w:hAnsi="Arial" w:cs="Arial"/>
        </w:rPr>
        <w:t>, a partir do final dos anos 2000 e início dos anos 2010</w:t>
      </w:r>
      <w:r w:rsidR="006A393B">
        <w:rPr>
          <w:rFonts w:ascii="Arial" w:hAnsi="Arial" w:cs="Arial"/>
        </w:rPr>
        <w:t>. Este movimento concentracionista na distribuição</w:t>
      </w:r>
      <w:r w:rsidR="00F45D4E">
        <w:rPr>
          <w:rFonts w:ascii="Arial" w:hAnsi="Arial" w:cs="Arial"/>
        </w:rPr>
        <w:t xml:space="preserve"> levou ao atual cenário</w:t>
      </w:r>
      <w:r w:rsidR="006A393B">
        <w:rPr>
          <w:rFonts w:ascii="Arial" w:hAnsi="Arial" w:cs="Arial"/>
        </w:rPr>
        <w:t xml:space="preserve"> que nos encontramos</w:t>
      </w:r>
      <w:r w:rsidR="00DD1CD5">
        <w:rPr>
          <w:rFonts w:ascii="Arial" w:hAnsi="Arial" w:cs="Arial"/>
        </w:rPr>
        <w:t>, no qual</w:t>
      </w:r>
      <w:r w:rsidR="00FB5063">
        <w:rPr>
          <w:rFonts w:ascii="Arial" w:hAnsi="Arial" w:cs="Arial"/>
        </w:rPr>
        <w:t xml:space="preserve">, </w:t>
      </w:r>
      <w:r w:rsidR="00F45D4E">
        <w:rPr>
          <w:rFonts w:ascii="Arial" w:hAnsi="Arial" w:cs="Arial"/>
        </w:rPr>
        <w:t xml:space="preserve">três distribuidoras controlam </w:t>
      </w:r>
      <w:r w:rsidR="00DD1CD5">
        <w:rPr>
          <w:rFonts w:ascii="Arial" w:hAnsi="Arial" w:cs="Arial"/>
        </w:rPr>
        <w:t>mais</w:t>
      </w:r>
      <w:r w:rsidR="00FB5063">
        <w:rPr>
          <w:rFonts w:ascii="Arial" w:hAnsi="Arial" w:cs="Arial"/>
        </w:rPr>
        <w:t xml:space="preserve"> de </w:t>
      </w:r>
      <w:r w:rsidR="00F45D4E" w:rsidRPr="00782DBC">
        <w:rPr>
          <w:rFonts w:ascii="Arial" w:hAnsi="Arial" w:cs="Arial"/>
          <w:b/>
        </w:rPr>
        <w:t>60% da oferta total de combustíveis no país</w:t>
      </w:r>
      <w:r w:rsidR="00EA71E5">
        <w:rPr>
          <w:rFonts w:ascii="Arial" w:hAnsi="Arial" w:cs="Arial"/>
        </w:rPr>
        <w:t>; e que, segundo o CADE</w:t>
      </w:r>
      <w:r w:rsidR="002A73E2">
        <w:rPr>
          <w:rFonts w:ascii="Arial" w:hAnsi="Arial" w:cs="Arial"/>
        </w:rPr>
        <w:t xml:space="preserve">, </w:t>
      </w:r>
      <w:r w:rsidR="002A73E2" w:rsidRPr="00782DBC">
        <w:rPr>
          <w:rFonts w:ascii="Arial" w:hAnsi="Arial" w:cs="Arial"/>
          <w:b/>
        </w:rPr>
        <w:t xml:space="preserve">em mais de 50% dos municípios </w:t>
      </w:r>
      <w:r w:rsidR="006A393B">
        <w:rPr>
          <w:rFonts w:ascii="Arial" w:hAnsi="Arial" w:cs="Arial"/>
          <w:b/>
        </w:rPr>
        <w:t xml:space="preserve">brasileiros </w:t>
      </w:r>
      <w:r w:rsidR="002A73E2" w:rsidRPr="00782DBC">
        <w:rPr>
          <w:rFonts w:ascii="Arial" w:hAnsi="Arial" w:cs="Arial"/>
          <w:b/>
        </w:rPr>
        <w:t xml:space="preserve">os postos </w:t>
      </w:r>
      <w:r w:rsidR="00256A79" w:rsidRPr="00782DBC">
        <w:rPr>
          <w:rFonts w:ascii="Arial" w:hAnsi="Arial" w:cs="Arial"/>
          <w:b/>
        </w:rPr>
        <w:t xml:space="preserve">instalados </w:t>
      </w:r>
      <w:r w:rsidR="002A73E2" w:rsidRPr="00782DBC">
        <w:rPr>
          <w:rFonts w:ascii="Arial" w:hAnsi="Arial" w:cs="Arial"/>
          <w:b/>
        </w:rPr>
        <w:t>pertencem a uma, duas ou</w:t>
      </w:r>
      <w:r w:rsidR="00256A79" w:rsidRPr="00782DBC">
        <w:rPr>
          <w:rFonts w:ascii="Arial" w:hAnsi="Arial" w:cs="Arial"/>
          <w:b/>
        </w:rPr>
        <w:t>, no máximo,</w:t>
      </w:r>
      <w:r w:rsidR="002A73E2" w:rsidRPr="00782DBC">
        <w:rPr>
          <w:rFonts w:ascii="Arial" w:hAnsi="Arial" w:cs="Arial"/>
          <w:b/>
        </w:rPr>
        <w:t xml:space="preserve"> três bandeiras</w:t>
      </w:r>
      <w:r w:rsidR="002A73E2">
        <w:rPr>
          <w:rStyle w:val="Refdenotaderodap"/>
          <w:rFonts w:ascii="Arial" w:hAnsi="Arial" w:cs="Arial"/>
        </w:rPr>
        <w:footnoteReference w:id="7"/>
      </w:r>
      <w:r w:rsidR="0046609F">
        <w:rPr>
          <w:rFonts w:ascii="Arial" w:hAnsi="Arial" w:cs="Arial"/>
        </w:rPr>
        <w:t>.</w:t>
      </w:r>
    </w:p>
    <w:p w:rsidR="0061028D" w:rsidRDefault="0061028D" w:rsidP="00287C67">
      <w:pPr>
        <w:ind w:firstLine="708"/>
        <w:jc w:val="both"/>
        <w:rPr>
          <w:rFonts w:ascii="Arial" w:hAnsi="Arial" w:cs="Arial"/>
        </w:rPr>
      </w:pPr>
    </w:p>
    <w:p w:rsidR="00060815" w:rsidRDefault="00D868F6" w:rsidP="00060815">
      <w:pPr>
        <w:ind w:firstLine="708"/>
        <w:jc w:val="both"/>
        <w:rPr>
          <w:rFonts w:ascii="Arial" w:hAnsi="Arial" w:cs="Arial"/>
          <w:b/>
        </w:rPr>
      </w:pPr>
      <w:r>
        <w:rPr>
          <w:rFonts w:ascii="Arial" w:hAnsi="Arial" w:cs="Arial"/>
        </w:rPr>
        <w:t>É no âmbito desse cen</w:t>
      </w:r>
      <w:r w:rsidR="00F80C67">
        <w:rPr>
          <w:rFonts w:ascii="Arial" w:hAnsi="Arial" w:cs="Arial"/>
        </w:rPr>
        <w:t>ário concentracionista que</w:t>
      </w:r>
      <w:r w:rsidR="004C4822">
        <w:rPr>
          <w:rFonts w:ascii="Arial" w:hAnsi="Arial" w:cs="Arial"/>
        </w:rPr>
        <w:t xml:space="preserve"> </w:t>
      </w:r>
      <w:r w:rsidR="004C4822" w:rsidRPr="00A03643">
        <w:rPr>
          <w:rFonts w:ascii="Arial" w:hAnsi="Arial" w:cs="Arial"/>
          <w:b/>
        </w:rPr>
        <w:t xml:space="preserve">o Sindaçúcar/PE acredita que </w:t>
      </w:r>
      <w:r>
        <w:rPr>
          <w:rFonts w:ascii="Arial" w:hAnsi="Arial" w:cs="Arial"/>
          <w:b/>
        </w:rPr>
        <w:t xml:space="preserve">a </w:t>
      </w:r>
      <w:r w:rsidR="00F80C67">
        <w:rPr>
          <w:rFonts w:ascii="Arial" w:hAnsi="Arial" w:cs="Arial"/>
          <w:b/>
        </w:rPr>
        <w:t xml:space="preserve">discussão sobre a </w:t>
      </w:r>
      <w:r w:rsidR="00370E6A" w:rsidRPr="00A03643">
        <w:rPr>
          <w:rFonts w:ascii="Arial" w:hAnsi="Arial" w:cs="Arial"/>
          <w:b/>
        </w:rPr>
        <w:t>revogação</w:t>
      </w:r>
      <w:r w:rsidR="00D52BFB">
        <w:rPr>
          <w:rFonts w:ascii="Arial" w:hAnsi="Arial" w:cs="Arial"/>
          <w:b/>
        </w:rPr>
        <w:t xml:space="preserve"> – ou pelo menos, a revisão completa –</w:t>
      </w:r>
      <w:r w:rsidR="00825AB5" w:rsidRPr="00A03643">
        <w:rPr>
          <w:rFonts w:ascii="Arial" w:hAnsi="Arial" w:cs="Arial"/>
          <w:b/>
        </w:rPr>
        <w:t xml:space="preserve"> das atuais normas infralegais </w:t>
      </w:r>
      <w:r w:rsidR="00370E6A" w:rsidRPr="00A03643">
        <w:rPr>
          <w:rFonts w:ascii="Arial" w:hAnsi="Arial" w:cs="Arial"/>
          <w:b/>
        </w:rPr>
        <w:t xml:space="preserve">editadas pela ANP </w:t>
      </w:r>
      <w:r w:rsidR="00256A79">
        <w:rPr>
          <w:rFonts w:ascii="Arial" w:hAnsi="Arial" w:cs="Arial"/>
          <w:b/>
        </w:rPr>
        <w:t xml:space="preserve">e </w:t>
      </w:r>
      <w:r w:rsidR="00370E6A" w:rsidRPr="00A03643">
        <w:rPr>
          <w:rFonts w:ascii="Arial" w:hAnsi="Arial" w:cs="Arial"/>
          <w:b/>
        </w:rPr>
        <w:t xml:space="preserve">que </w:t>
      </w:r>
      <w:r>
        <w:rPr>
          <w:rFonts w:ascii="Arial" w:hAnsi="Arial" w:cs="Arial"/>
          <w:b/>
        </w:rPr>
        <w:t>regulam o chamado embandeiramento</w:t>
      </w:r>
      <w:r w:rsidR="00782DBC">
        <w:rPr>
          <w:rFonts w:ascii="Arial" w:hAnsi="Arial" w:cs="Arial"/>
          <w:b/>
        </w:rPr>
        <w:t>,</w:t>
      </w:r>
      <w:r>
        <w:rPr>
          <w:rFonts w:ascii="Arial" w:hAnsi="Arial" w:cs="Arial"/>
          <w:b/>
        </w:rPr>
        <w:t xml:space="preserve"> </w:t>
      </w:r>
      <w:r w:rsidR="00F80C67">
        <w:rPr>
          <w:rFonts w:ascii="Arial" w:hAnsi="Arial" w:cs="Arial"/>
          <w:b/>
        </w:rPr>
        <w:t>deve se enveredar e aprofundar</w:t>
      </w:r>
      <w:r w:rsidR="006A393B">
        <w:rPr>
          <w:rFonts w:ascii="Arial" w:hAnsi="Arial" w:cs="Arial"/>
          <w:b/>
        </w:rPr>
        <w:t xml:space="preserve">. </w:t>
      </w:r>
    </w:p>
    <w:p w:rsidR="00060815" w:rsidRDefault="00060815" w:rsidP="00060815">
      <w:pPr>
        <w:ind w:firstLine="708"/>
        <w:jc w:val="both"/>
        <w:rPr>
          <w:rFonts w:ascii="Arial" w:hAnsi="Arial" w:cs="Arial"/>
          <w:b/>
        </w:rPr>
      </w:pPr>
    </w:p>
    <w:p w:rsidR="004C4822" w:rsidRPr="00A828BA" w:rsidRDefault="006A23D5" w:rsidP="00060815">
      <w:pPr>
        <w:ind w:firstLine="708"/>
        <w:jc w:val="both"/>
        <w:rPr>
          <w:rFonts w:ascii="Arial" w:hAnsi="Arial" w:cs="Arial"/>
        </w:rPr>
      </w:pPr>
      <w:r>
        <w:rPr>
          <w:rFonts w:ascii="Arial" w:hAnsi="Arial" w:cs="Arial"/>
          <w:b/>
        </w:rPr>
        <w:t>Reitera-se que e</w:t>
      </w:r>
      <w:r w:rsidR="006A393B">
        <w:rPr>
          <w:rFonts w:ascii="Arial" w:hAnsi="Arial" w:cs="Arial"/>
          <w:b/>
        </w:rPr>
        <w:t xml:space="preserve">sta revisão </w:t>
      </w:r>
      <w:r w:rsidR="00060815">
        <w:rPr>
          <w:rFonts w:ascii="Arial" w:hAnsi="Arial" w:cs="Arial"/>
          <w:b/>
        </w:rPr>
        <w:t>deve sempre levar em conta</w:t>
      </w:r>
      <w:r w:rsidR="006A393B">
        <w:rPr>
          <w:rFonts w:ascii="Arial" w:hAnsi="Arial" w:cs="Arial"/>
          <w:b/>
        </w:rPr>
        <w:t xml:space="preserve"> </w:t>
      </w:r>
      <w:r w:rsidR="006125C5">
        <w:rPr>
          <w:rFonts w:ascii="Arial" w:hAnsi="Arial" w:cs="Arial"/>
          <w:b/>
        </w:rPr>
        <w:t xml:space="preserve">a proteção aos interesses dos consumidores de etanol hidratado e </w:t>
      </w:r>
      <w:r w:rsidR="006A393B">
        <w:rPr>
          <w:rFonts w:ascii="Arial" w:hAnsi="Arial" w:cs="Arial"/>
          <w:b/>
        </w:rPr>
        <w:t xml:space="preserve">da </w:t>
      </w:r>
      <w:r w:rsidR="006125C5">
        <w:rPr>
          <w:rFonts w:ascii="Arial" w:hAnsi="Arial" w:cs="Arial"/>
          <w:b/>
        </w:rPr>
        <w:t>gasolina C</w:t>
      </w:r>
      <w:r w:rsidR="006A393B">
        <w:rPr>
          <w:rFonts w:ascii="Arial" w:hAnsi="Arial" w:cs="Arial"/>
          <w:b/>
        </w:rPr>
        <w:t>, os quais</w:t>
      </w:r>
      <w:r w:rsidR="00AA6352">
        <w:rPr>
          <w:rFonts w:ascii="Arial" w:hAnsi="Arial" w:cs="Arial"/>
          <w:b/>
        </w:rPr>
        <w:t xml:space="preserve"> </w:t>
      </w:r>
      <w:r w:rsidR="006125C5">
        <w:rPr>
          <w:rFonts w:ascii="Arial" w:hAnsi="Arial" w:cs="Arial"/>
          <w:b/>
        </w:rPr>
        <w:t>relaciona</w:t>
      </w:r>
      <w:r w:rsidR="00AA6352">
        <w:rPr>
          <w:rFonts w:ascii="Arial" w:hAnsi="Arial" w:cs="Arial"/>
          <w:b/>
        </w:rPr>
        <w:t>m-se tanto à redução de preço e à garantia de</w:t>
      </w:r>
      <w:r w:rsidR="006125C5">
        <w:rPr>
          <w:rFonts w:ascii="Arial" w:hAnsi="Arial" w:cs="Arial"/>
          <w:b/>
        </w:rPr>
        <w:t xml:space="preserve"> seu abastecimento</w:t>
      </w:r>
      <w:r w:rsidR="00AA6352">
        <w:rPr>
          <w:rFonts w:ascii="Arial" w:hAnsi="Arial" w:cs="Arial"/>
          <w:b/>
        </w:rPr>
        <w:t>,</w:t>
      </w:r>
      <w:r w:rsidR="006125C5">
        <w:rPr>
          <w:rFonts w:ascii="Arial" w:hAnsi="Arial" w:cs="Arial"/>
          <w:b/>
        </w:rPr>
        <w:t xml:space="preserve"> como ainda ao controle de sua qualidade</w:t>
      </w:r>
      <w:r w:rsidR="00060815">
        <w:rPr>
          <w:rFonts w:ascii="Arial" w:hAnsi="Arial" w:cs="Arial"/>
          <w:b/>
        </w:rPr>
        <w:t>, a livre concorrência e a livre iniciativa</w:t>
      </w:r>
      <w:r w:rsidR="00A03643">
        <w:rPr>
          <w:rFonts w:ascii="Arial" w:hAnsi="Arial" w:cs="Arial"/>
        </w:rPr>
        <w:t>.</w:t>
      </w:r>
      <w:r w:rsidR="006A393B">
        <w:rPr>
          <w:rFonts w:ascii="Arial" w:hAnsi="Arial" w:cs="Arial"/>
        </w:rPr>
        <w:t xml:space="preserve"> Como destacaremos </w:t>
      </w:r>
      <w:r w:rsidR="00060815">
        <w:rPr>
          <w:rFonts w:ascii="Arial" w:hAnsi="Arial" w:cs="Arial"/>
        </w:rPr>
        <w:t xml:space="preserve">adiante, o fim da regra de embandeiramento e dos contratos de exclusividade, ou pelo menos sua melhor regulação de forma a trazer maior concorrência e competitividade – e, portanto, maior oferta, menores preços e melhores serviços – nos diferentes elos da cadeia de combustíveis, não nos parece ferir qualquer desses princípios e objetivos da Lei do Petróleo.  </w:t>
      </w:r>
    </w:p>
    <w:p w:rsidR="00B45A66" w:rsidRDefault="00B45A66" w:rsidP="00AC584B">
      <w:pPr>
        <w:jc w:val="both"/>
        <w:rPr>
          <w:rFonts w:ascii="Arial" w:hAnsi="Arial" w:cs="Arial"/>
        </w:rPr>
      </w:pPr>
    </w:p>
    <w:p w:rsidR="00060815" w:rsidRDefault="00060815" w:rsidP="00AC584B">
      <w:pPr>
        <w:jc w:val="both"/>
        <w:rPr>
          <w:rFonts w:ascii="Arial" w:hAnsi="Arial" w:cs="Arial"/>
        </w:rPr>
      </w:pPr>
    </w:p>
    <w:p w:rsidR="003D7FB7" w:rsidRPr="003D7FB7" w:rsidRDefault="00A03643" w:rsidP="007E6E5E">
      <w:pPr>
        <w:jc w:val="both"/>
        <w:rPr>
          <w:rFonts w:ascii="Arial" w:hAnsi="Arial" w:cs="Arial"/>
          <w:b/>
          <w:i/>
        </w:rPr>
      </w:pPr>
      <w:r w:rsidRPr="00FC6B8B">
        <w:rPr>
          <w:rFonts w:ascii="Arial" w:hAnsi="Arial" w:cs="Arial"/>
          <w:b/>
          <w:i/>
        </w:rPr>
        <w:t xml:space="preserve">II – </w:t>
      </w:r>
      <w:r w:rsidR="00D52BFB" w:rsidRPr="00422108">
        <w:rPr>
          <w:rFonts w:ascii="Arial" w:hAnsi="Arial" w:cs="Arial"/>
          <w:b/>
          <w:i/>
          <w:u w:val="single"/>
        </w:rPr>
        <w:t>A Regra do Embandeiramento e seus Impactos à Concorrência</w:t>
      </w:r>
      <w:r w:rsidR="00422108" w:rsidRPr="00422108">
        <w:rPr>
          <w:rFonts w:ascii="Arial" w:hAnsi="Arial" w:cs="Arial"/>
          <w:b/>
          <w:i/>
          <w:u w:val="single"/>
        </w:rPr>
        <w:t xml:space="preserve"> e </w:t>
      </w:r>
      <w:r w:rsidR="00CD1112">
        <w:rPr>
          <w:rFonts w:ascii="Arial" w:hAnsi="Arial" w:cs="Arial"/>
          <w:b/>
          <w:i/>
          <w:u w:val="single"/>
        </w:rPr>
        <w:t>aos Consumidores de Combustíveis</w:t>
      </w:r>
      <w:r w:rsidR="007E6E5E" w:rsidRPr="00E56159">
        <w:rPr>
          <w:rFonts w:ascii="Arial" w:hAnsi="Arial" w:cs="Arial"/>
          <w:b/>
          <w:i/>
          <w:u w:val="single"/>
        </w:rPr>
        <w:t xml:space="preserve">: </w:t>
      </w:r>
      <w:r w:rsidR="003D7FB7" w:rsidRPr="00E56159">
        <w:rPr>
          <w:rFonts w:ascii="Arial" w:hAnsi="Arial" w:cs="Arial"/>
          <w:b/>
          <w:i/>
          <w:u w:val="single"/>
        </w:rPr>
        <w:t>Breve Síntese das Normas da ANP que Criaram e Regulam o Embandeiramento e a Inexistência de um Racional Econômico Pró-Competição, Competitividade e Eficiência</w:t>
      </w:r>
      <w:r w:rsidR="003D7FB7">
        <w:rPr>
          <w:rFonts w:ascii="Arial" w:hAnsi="Arial" w:cs="Arial"/>
          <w:b/>
          <w:i/>
        </w:rPr>
        <w:t>.</w:t>
      </w:r>
    </w:p>
    <w:p w:rsidR="003D7FB7" w:rsidRPr="00422108" w:rsidRDefault="003D7FB7" w:rsidP="00AC584B">
      <w:pPr>
        <w:jc w:val="both"/>
        <w:rPr>
          <w:rFonts w:ascii="Arial" w:hAnsi="Arial" w:cs="Arial"/>
        </w:rPr>
      </w:pPr>
    </w:p>
    <w:p w:rsidR="002F0D71" w:rsidRDefault="00422108" w:rsidP="00AC584B">
      <w:pPr>
        <w:jc w:val="both"/>
        <w:rPr>
          <w:rFonts w:ascii="Arial" w:hAnsi="Arial" w:cs="Arial"/>
        </w:rPr>
      </w:pPr>
      <w:r w:rsidRPr="006E62FA">
        <w:rPr>
          <w:rFonts w:ascii="Arial" w:hAnsi="Arial" w:cs="Arial"/>
        </w:rPr>
        <w:tab/>
      </w:r>
      <w:r w:rsidR="006E62FA">
        <w:rPr>
          <w:rFonts w:ascii="Arial" w:hAnsi="Arial" w:cs="Arial"/>
        </w:rPr>
        <w:t xml:space="preserve">A partir de uma breve digressão sobre as normas infralegais da ANP, percebe-se que </w:t>
      </w:r>
      <w:r w:rsidR="002F0D71">
        <w:rPr>
          <w:rFonts w:ascii="Arial" w:hAnsi="Arial" w:cs="Arial"/>
        </w:rPr>
        <w:t>a regra do “</w:t>
      </w:r>
      <w:r w:rsidR="00AA6352">
        <w:rPr>
          <w:rFonts w:ascii="Arial" w:hAnsi="Arial" w:cs="Arial"/>
        </w:rPr>
        <w:t>embandeiramento” foi introduzida</w:t>
      </w:r>
      <w:r w:rsidR="002F0D71">
        <w:rPr>
          <w:rFonts w:ascii="Arial" w:hAnsi="Arial" w:cs="Arial"/>
        </w:rPr>
        <w:t xml:space="preserve"> no ordenamento pátrio, em 2000, a partir da edição da </w:t>
      </w:r>
      <w:r w:rsidR="00CD1112" w:rsidRPr="006E62FA">
        <w:rPr>
          <w:rFonts w:ascii="Arial" w:hAnsi="Arial" w:cs="Arial"/>
        </w:rPr>
        <w:t>Portaria ANP nº 116/00</w:t>
      </w:r>
      <w:r w:rsidR="002F0D71">
        <w:rPr>
          <w:rFonts w:ascii="Arial" w:hAnsi="Arial" w:cs="Arial"/>
        </w:rPr>
        <w:t>.</w:t>
      </w:r>
    </w:p>
    <w:p w:rsidR="002F0D71" w:rsidRDefault="002F0D71" w:rsidP="00AC584B">
      <w:pPr>
        <w:jc w:val="both"/>
        <w:rPr>
          <w:rFonts w:ascii="Arial" w:hAnsi="Arial" w:cs="Arial"/>
        </w:rPr>
      </w:pPr>
    </w:p>
    <w:p w:rsidR="00422108" w:rsidRDefault="002F0D71" w:rsidP="005C2095">
      <w:pPr>
        <w:ind w:firstLine="708"/>
        <w:jc w:val="both"/>
        <w:rPr>
          <w:rFonts w:ascii="Arial" w:hAnsi="Arial" w:cs="Arial"/>
        </w:rPr>
      </w:pPr>
      <w:r>
        <w:rPr>
          <w:rFonts w:ascii="Arial" w:hAnsi="Arial" w:cs="Arial"/>
        </w:rPr>
        <w:t>Esta Portaria, além de restringir a aquisição</w:t>
      </w:r>
      <w:r w:rsidR="00360F5C">
        <w:rPr>
          <w:rFonts w:ascii="Arial" w:hAnsi="Arial" w:cs="Arial"/>
        </w:rPr>
        <w:t xml:space="preserve"> de combustíveis</w:t>
      </w:r>
      <w:r w:rsidR="00AA6352">
        <w:rPr>
          <w:rFonts w:ascii="Arial" w:hAnsi="Arial" w:cs="Arial"/>
        </w:rPr>
        <w:t xml:space="preserve"> pelos revendedores-varejistas</w:t>
      </w:r>
      <w:r>
        <w:rPr>
          <w:rFonts w:ascii="Arial" w:hAnsi="Arial" w:cs="Arial"/>
        </w:rPr>
        <w:t xml:space="preserve"> exclusivamente junto às distribuidoras de combustíveis autorizadas, determinou</w:t>
      </w:r>
      <w:r w:rsidR="00AA6352">
        <w:rPr>
          <w:rFonts w:ascii="Arial" w:hAnsi="Arial" w:cs="Arial"/>
        </w:rPr>
        <w:t xml:space="preserve"> </w:t>
      </w:r>
      <w:r w:rsidR="00360F5C">
        <w:rPr>
          <w:rFonts w:ascii="Arial" w:hAnsi="Arial" w:cs="Arial"/>
        </w:rPr>
        <w:t>também</w:t>
      </w:r>
      <w:r>
        <w:rPr>
          <w:rFonts w:ascii="Arial" w:hAnsi="Arial" w:cs="Arial"/>
        </w:rPr>
        <w:t xml:space="preserve">, </w:t>
      </w:r>
      <w:r w:rsidR="00CD1112" w:rsidRPr="006E62FA">
        <w:rPr>
          <w:rFonts w:ascii="Arial" w:hAnsi="Arial" w:cs="Arial"/>
        </w:rPr>
        <w:t>em seu artigo 11,</w:t>
      </w:r>
      <w:r>
        <w:rPr>
          <w:rFonts w:ascii="Arial" w:hAnsi="Arial" w:cs="Arial"/>
        </w:rPr>
        <w:t xml:space="preserve"> § 2º</w:t>
      </w:r>
      <w:r w:rsidR="00360F5C">
        <w:rPr>
          <w:rFonts w:ascii="Arial" w:hAnsi="Arial" w:cs="Arial"/>
        </w:rPr>
        <w:t>,</w:t>
      </w:r>
      <w:r w:rsidR="00CD1112" w:rsidRPr="006E62FA">
        <w:rPr>
          <w:rFonts w:ascii="Arial" w:hAnsi="Arial" w:cs="Arial"/>
        </w:rPr>
        <w:t xml:space="preserve"> que, “caso o revendedor opte por exibir a marca comercial do distribuidor de combustíveis líquidos derivados de petróleo, álcool combustível e outros combustíveis automotivos, </w:t>
      </w:r>
      <w:r w:rsidR="00CD1112" w:rsidRPr="006E62FA">
        <w:rPr>
          <w:rFonts w:ascii="Arial" w:hAnsi="Arial" w:cs="Arial"/>
          <w:b/>
        </w:rPr>
        <w:t>deverá vender somente combustíveis fornecidos pelo distribuidor detentor da marca comercial exibida</w:t>
      </w:r>
      <w:r w:rsidR="00CD1112" w:rsidRPr="006E62FA">
        <w:rPr>
          <w:rFonts w:ascii="Arial" w:hAnsi="Arial" w:cs="Arial"/>
        </w:rPr>
        <w:t xml:space="preserve">” (Destacamos). </w:t>
      </w:r>
      <w:r w:rsidR="005C2095">
        <w:rPr>
          <w:rFonts w:ascii="Arial" w:hAnsi="Arial" w:cs="Arial"/>
        </w:rPr>
        <w:t>Em seu</w:t>
      </w:r>
      <w:r w:rsidR="00CD1112" w:rsidRPr="006E62FA">
        <w:rPr>
          <w:rFonts w:ascii="Arial" w:hAnsi="Arial" w:cs="Arial"/>
        </w:rPr>
        <w:t xml:space="preserve"> § 3º foi definido </w:t>
      </w:r>
      <w:r w:rsidR="0055269E">
        <w:rPr>
          <w:rFonts w:ascii="Arial" w:hAnsi="Arial" w:cs="Arial"/>
        </w:rPr>
        <w:t>ainda</w:t>
      </w:r>
      <w:r w:rsidR="00CD1112" w:rsidRPr="006E62FA">
        <w:rPr>
          <w:rFonts w:ascii="Arial" w:hAnsi="Arial" w:cs="Arial"/>
        </w:rPr>
        <w:t xml:space="preserve"> que, </w:t>
      </w:r>
      <w:r w:rsidR="005C2095">
        <w:rPr>
          <w:rFonts w:ascii="Arial" w:hAnsi="Arial" w:cs="Arial"/>
        </w:rPr>
        <w:t>“</w:t>
      </w:r>
      <w:r w:rsidR="00CD1112" w:rsidRPr="006E62FA">
        <w:rPr>
          <w:rFonts w:ascii="Arial" w:hAnsi="Arial" w:cs="Arial"/>
        </w:rPr>
        <w:t xml:space="preserve">caso o revendedor opte por não exibir a marca comercial do distribuidor, </w:t>
      </w:r>
      <w:r w:rsidR="00CD1112" w:rsidRPr="00AA6352">
        <w:rPr>
          <w:rFonts w:ascii="Arial" w:hAnsi="Arial" w:cs="Arial"/>
          <w:b/>
        </w:rPr>
        <w:t xml:space="preserve">deverá identificar, de forma destacada e de fácil </w:t>
      </w:r>
      <w:r w:rsidR="00CD1112" w:rsidRPr="00AA6352">
        <w:rPr>
          <w:rFonts w:ascii="Arial" w:hAnsi="Arial" w:cs="Arial"/>
          <w:b/>
        </w:rPr>
        <w:lastRenderedPageBreak/>
        <w:t>visualização, em cada bomba abastecedora, o distribuidor fornecedor do respectivo combustível</w:t>
      </w:r>
      <w:r w:rsidR="00CD1112" w:rsidRPr="006E62FA">
        <w:rPr>
          <w:rFonts w:ascii="Arial" w:hAnsi="Arial" w:cs="Arial"/>
        </w:rPr>
        <w:t>”.</w:t>
      </w:r>
    </w:p>
    <w:p w:rsidR="005C2095" w:rsidRDefault="005C2095" w:rsidP="002F0D71">
      <w:pPr>
        <w:ind w:firstLine="708"/>
        <w:jc w:val="both"/>
        <w:rPr>
          <w:rFonts w:ascii="Arial" w:hAnsi="Arial" w:cs="Arial"/>
        </w:rPr>
      </w:pPr>
    </w:p>
    <w:p w:rsidR="002A69F5" w:rsidRDefault="005C2095" w:rsidP="008506A4">
      <w:pPr>
        <w:ind w:firstLine="708"/>
        <w:jc w:val="both"/>
        <w:rPr>
          <w:rFonts w:ascii="Arial" w:hAnsi="Arial" w:cs="Arial"/>
        </w:rPr>
      </w:pPr>
      <w:r>
        <w:rPr>
          <w:rFonts w:ascii="Arial" w:hAnsi="Arial" w:cs="Arial"/>
        </w:rPr>
        <w:t xml:space="preserve">Enquanto </w:t>
      </w:r>
      <w:r w:rsidRPr="005C2095">
        <w:rPr>
          <w:rFonts w:ascii="Arial" w:hAnsi="Arial" w:cs="Arial"/>
        </w:rPr>
        <w:t xml:space="preserve">no </w:t>
      </w:r>
      <w:r w:rsidRPr="005C2095">
        <w:rPr>
          <w:rFonts w:ascii="Arial" w:hAnsi="Arial" w:cs="Arial"/>
          <w:u w:val="single"/>
        </w:rPr>
        <w:t>primeiro caso</w:t>
      </w:r>
      <w:r w:rsidRPr="005C2095">
        <w:rPr>
          <w:rFonts w:ascii="Arial" w:hAnsi="Arial" w:cs="Arial"/>
        </w:rPr>
        <w:t xml:space="preserve"> foi estabelecida, ainda que </w:t>
      </w:r>
      <w:r w:rsidRPr="00AE6E3B">
        <w:rPr>
          <w:rFonts w:ascii="Arial" w:hAnsi="Arial" w:cs="Arial"/>
          <w:b/>
        </w:rPr>
        <w:t>implicitamente</w:t>
      </w:r>
      <w:r w:rsidRPr="005C2095">
        <w:rPr>
          <w:rFonts w:ascii="Arial" w:hAnsi="Arial" w:cs="Arial"/>
        </w:rPr>
        <w:t xml:space="preserve">, um modelo de </w:t>
      </w:r>
      <w:r w:rsidRPr="005C2095">
        <w:rPr>
          <w:rFonts w:ascii="Arial" w:hAnsi="Arial" w:cs="Arial"/>
          <w:b/>
        </w:rPr>
        <w:t xml:space="preserve">governança baseado em uma relação de </w:t>
      </w:r>
      <w:r>
        <w:rPr>
          <w:rFonts w:ascii="Arial" w:hAnsi="Arial" w:cs="Arial"/>
          <w:b/>
        </w:rPr>
        <w:t>“</w:t>
      </w:r>
      <w:r w:rsidRPr="005C2095">
        <w:rPr>
          <w:rFonts w:ascii="Arial" w:hAnsi="Arial" w:cs="Arial"/>
          <w:b/>
        </w:rPr>
        <w:t>exclusividade</w:t>
      </w:r>
      <w:r>
        <w:rPr>
          <w:rFonts w:ascii="Arial" w:hAnsi="Arial" w:cs="Arial"/>
          <w:b/>
        </w:rPr>
        <w:t xml:space="preserve"> </w:t>
      </w:r>
      <w:r w:rsidRPr="00AE6E3B">
        <w:rPr>
          <w:rFonts w:ascii="Arial" w:hAnsi="Arial" w:cs="Arial"/>
          <w:b/>
          <w:u w:val="single"/>
        </w:rPr>
        <w:t>não contratual</w:t>
      </w:r>
      <w:r w:rsidR="00BA2897" w:rsidRPr="003E080C">
        <w:rPr>
          <w:rFonts w:ascii="Arial" w:hAnsi="Arial" w:cs="Arial"/>
          <w:b/>
        </w:rPr>
        <w:t>”</w:t>
      </w:r>
      <w:r w:rsidRPr="005C2095">
        <w:rPr>
          <w:rFonts w:ascii="Arial" w:hAnsi="Arial" w:cs="Arial"/>
          <w:b/>
        </w:rPr>
        <w:t xml:space="preserve"> na aquisição do combustível por parte do revendedor-varejista</w:t>
      </w:r>
      <w:r w:rsidR="009014E1">
        <w:rPr>
          <w:rFonts w:ascii="Arial" w:hAnsi="Arial" w:cs="Arial"/>
        </w:rPr>
        <w:t>;</w:t>
      </w:r>
      <w:r w:rsidRPr="005C2095">
        <w:rPr>
          <w:rFonts w:ascii="Arial" w:hAnsi="Arial" w:cs="Arial"/>
        </w:rPr>
        <w:t xml:space="preserve"> </w:t>
      </w:r>
      <w:r w:rsidRPr="005C2095">
        <w:rPr>
          <w:rFonts w:ascii="Arial" w:hAnsi="Arial" w:cs="Arial"/>
          <w:u w:val="single"/>
        </w:rPr>
        <w:t>no segundo</w:t>
      </w:r>
      <w:r w:rsidRPr="005C2095">
        <w:rPr>
          <w:rFonts w:ascii="Arial" w:hAnsi="Arial" w:cs="Arial"/>
        </w:rPr>
        <w:t xml:space="preserve">, o modelo definido foi aquele de comercialização </w:t>
      </w:r>
      <w:r w:rsidRPr="005C2095">
        <w:rPr>
          <w:rFonts w:ascii="Arial" w:hAnsi="Arial" w:cs="Arial"/>
          <w:i/>
        </w:rPr>
        <w:t>spot</w:t>
      </w:r>
      <w:r w:rsidRPr="005C2095">
        <w:rPr>
          <w:rFonts w:ascii="Arial" w:hAnsi="Arial" w:cs="Arial"/>
        </w:rPr>
        <w:t xml:space="preserve"> (via demanda e oferta pontual – </w:t>
      </w:r>
      <w:r>
        <w:rPr>
          <w:rFonts w:ascii="Arial" w:hAnsi="Arial" w:cs="Arial"/>
        </w:rPr>
        <w:t xml:space="preserve">“mercado”). </w:t>
      </w:r>
    </w:p>
    <w:p w:rsidR="002A69F5" w:rsidRDefault="002A69F5" w:rsidP="008506A4">
      <w:pPr>
        <w:ind w:firstLine="708"/>
        <w:jc w:val="both"/>
        <w:rPr>
          <w:rFonts w:ascii="Arial" w:hAnsi="Arial" w:cs="Arial"/>
        </w:rPr>
      </w:pPr>
    </w:p>
    <w:p w:rsidR="00BA2897" w:rsidRDefault="004840EA" w:rsidP="008506A4">
      <w:pPr>
        <w:ind w:firstLine="708"/>
        <w:jc w:val="both"/>
        <w:rPr>
          <w:rFonts w:ascii="Arial" w:hAnsi="Arial" w:cs="Arial"/>
        </w:rPr>
      </w:pPr>
      <w:r>
        <w:rPr>
          <w:rFonts w:ascii="Arial" w:hAnsi="Arial" w:cs="Arial"/>
        </w:rPr>
        <w:t xml:space="preserve">Observa-se, contudo, que em ambos os casos, </w:t>
      </w:r>
      <w:r w:rsidRPr="00C66064">
        <w:rPr>
          <w:rFonts w:ascii="Arial" w:hAnsi="Arial" w:cs="Arial"/>
          <w:b/>
        </w:rPr>
        <w:t xml:space="preserve">o regulador deixou </w:t>
      </w:r>
      <w:r w:rsidR="002A69F5" w:rsidRPr="00C66064">
        <w:rPr>
          <w:rFonts w:ascii="Arial" w:hAnsi="Arial" w:cs="Arial"/>
          <w:b/>
        </w:rPr>
        <w:t>de forma transparente</w:t>
      </w:r>
      <w:r w:rsidRPr="00C66064">
        <w:rPr>
          <w:rFonts w:ascii="Arial" w:hAnsi="Arial" w:cs="Arial"/>
          <w:b/>
        </w:rPr>
        <w:t xml:space="preserve"> sua preocupação em </w:t>
      </w:r>
      <w:r w:rsidR="00360F5C" w:rsidRPr="00C66064">
        <w:rPr>
          <w:rFonts w:ascii="Arial" w:hAnsi="Arial" w:cs="Arial"/>
          <w:b/>
        </w:rPr>
        <w:t>identificar</w:t>
      </w:r>
      <w:r w:rsidR="009014E1">
        <w:rPr>
          <w:rFonts w:ascii="Arial" w:hAnsi="Arial" w:cs="Arial"/>
          <w:b/>
        </w:rPr>
        <w:t>,</w:t>
      </w:r>
      <w:r w:rsidR="00360F5C">
        <w:rPr>
          <w:rFonts w:ascii="Arial" w:hAnsi="Arial" w:cs="Arial"/>
        </w:rPr>
        <w:t xml:space="preserve"> </w:t>
      </w:r>
      <w:r w:rsidR="00C66064">
        <w:rPr>
          <w:rFonts w:ascii="Arial" w:hAnsi="Arial" w:cs="Arial"/>
        </w:rPr>
        <w:t>expressamente e em local visível</w:t>
      </w:r>
      <w:r>
        <w:rPr>
          <w:rFonts w:ascii="Arial" w:hAnsi="Arial" w:cs="Arial"/>
        </w:rPr>
        <w:t xml:space="preserve"> aos consumidores</w:t>
      </w:r>
      <w:r w:rsidR="009014E1">
        <w:rPr>
          <w:rFonts w:ascii="Arial" w:hAnsi="Arial" w:cs="Arial"/>
        </w:rPr>
        <w:t>,</w:t>
      </w:r>
      <w:r>
        <w:rPr>
          <w:rFonts w:ascii="Arial" w:hAnsi="Arial" w:cs="Arial"/>
        </w:rPr>
        <w:t xml:space="preserve"> </w:t>
      </w:r>
      <w:r w:rsidR="00360F5C">
        <w:rPr>
          <w:rFonts w:ascii="Arial" w:hAnsi="Arial" w:cs="Arial"/>
        </w:rPr>
        <w:t xml:space="preserve">a </w:t>
      </w:r>
      <w:r w:rsidR="00735D16" w:rsidRPr="00C66064">
        <w:rPr>
          <w:rFonts w:ascii="Arial" w:hAnsi="Arial" w:cs="Arial"/>
          <w:b/>
        </w:rPr>
        <w:t>orig</w:t>
      </w:r>
      <w:r w:rsidR="00360F5C" w:rsidRPr="00C66064">
        <w:rPr>
          <w:rFonts w:ascii="Arial" w:hAnsi="Arial" w:cs="Arial"/>
          <w:b/>
        </w:rPr>
        <w:t xml:space="preserve">em </w:t>
      </w:r>
      <w:r w:rsidR="00735D16" w:rsidRPr="00C66064">
        <w:rPr>
          <w:rFonts w:ascii="Arial" w:hAnsi="Arial" w:cs="Arial"/>
          <w:b/>
        </w:rPr>
        <w:t xml:space="preserve">do combustível </w:t>
      </w:r>
      <w:r w:rsidR="00360F5C" w:rsidRPr="00C66064">
        <w:rPr>
          <w:rFonts w:ascii="Arial" w:hAnsi="Arial" w:cs="Arial"/>
          <w:b/>
        </w:rPr>
        <w:t>comercializado pelo revendedor</w:t>
      </w:r>
      <w:r w:rsidR="00C66064">
        <w:rPr>
          <w:rFonts w:ascii="Arial" w:hAnsi="Arial" w:cs="Arial"/>
        </w:rPr>
        <w:t>. Esta medida, embora não tenha sido fundamentada expressamente no momento da criação desta norma infralegal, claramente visava</w:t>
      </w:r>
      <w:r w:rsidR="00735D16">
        <w:rPr>
          <w:rFonts w:ascii="Arial" w:hAnsi="Arial" w:cs="Arial"/>
        </w:rPr>
        <w:t xml:space="preserve"> facilitar a fiscalização</w:t>
      </w:r>
      <w:r w:rsidR="009014E1">
        <w:rPr>
          <w:rFonts w:ascii="Arial" w:hAnsi="Arial" w:cs="Arial"/>
        </w:rPr>
        <w:t>, assim</w:t>
      </w:r>
      <w:r w:rsidR="00735D16">
        <w:rPr>
          <w:rFonts w:ascii="Arial" w:hAnsi="Arial" w:cs="Arial"/>
        </w:rPr>
        <w:t xml:space="preserve"> como a detecção de um dos possíveis responsáveis por uma eventual má qualidade do combustível ofertado pelo posto revendedor. </w:t>
      </w:r>
    </w:p>
    <w:p w:rsidR="00A2761B" w:rsidRDefault="00A2761B" w:rsidP="008506A4">
      <w:pPr>
        <w:ind w:firstLine="708"/>
        <w:jc w:val="both"/>
        <w:rPr>
          <w:rFonts w:ascii="Arial" w:hAnsi="Arial" w:cs="Arial"/>
        </w:rPr>
      </w:pPr>
    </w:p>
    <w:p w:rsidR="002A69F5" w:rsidRDefault="009014E1" w:rsidP="002A69F5">
      <w:pPr>
        <w:ind w:firstLine="708"/>
        <w:jc w:val="both"/>
        <w:rPr>
          <w:rFonts w:ascii="Arial" w:hAnsi="Arial" w:cs="Arial"/>
        </w:rPr>
      </w:pPr>
      <w:r>
        <w:rPr>
          <w:rFonts w:ascii="Arial" w:hAnsi="Arial" w:cs="Arial"/>
        </w:rPr>
        <w:t>P</w:t>
      </w:r>
      <w:r w:rsidR="00BA2897">
        <w:rPr>
          <w:rFonts w:ascii="Arial" w:hAnsi="Arial" w:cs="Arial"/>
        </w:rPr>
        <w:t xml:space="preserve">ara fins destes comentários, </w:t>
      </w:r>
      <w:r>
        <w:rPr>
          <w:rFonts w:ascii="Arial" w:hAnsi="Arial" w:cs="Arial"/>
        </w:rPr>
        <w:t xml:space="preserve">é ainda importante reiterarmos </w:t>
      </w:r>
      <w:r w:rsidR="00BA2897">
        <w:rPr>
          <w:rFonts w:ascii="Arial" w:hAnsi="Arial" w:cs="Arial"/>
        </w:rPr>
        <w:t xml:space="preserve">que o destaque ao </w:t>
      </w:r>
      <w:r w:rsidR="00530E21">
        <w:rPr>
          <w:rFonts w:ascii="Arial" w:hAnsi="Arial" w:cs="Arial"/>
        </w:rPr>
        <w:t>termo “</w:t>
      </w:r>
      <w:r w:rsidR="00BA2897" w:rsidRPr="00BA2897">
        <w:rPr>
          <w:rFonts w:ascii="Arial" w:hAnsi="Arial" w:cs="Arial"/>
          <w:b/>
        </w:rPr>
        <w:t xml:space="preserve">exclusividade </w:t>
      </w:r>
      <w:r w:rsidR="00530E21" w:rsidRPr="00BA2897">
        <w:rPr>
          <w:rFonts w:ascii="Arial" w:hAnsi="Arial" w:cs="Arial"/>
          <w:b/>
          <w:u w:val="single"/>
        </w:rPr>
        <w:t>não contratual</w:t>
      </w:r>
      <w:r w:rsidR="00530E21">
        <w:rPr>
          <w:rFonts w:ascii="Arial" w:hAnsi="Arial" w:cs="Arial"/>
        </w:rPr>
        <w:t>”</w:t>
      </w:r>
      <w:r w:rsidR="00BA2897">
        <w:rPr>
          <w:rFonts w:ascii="Arial" w:hAnsi="Arial" w:cs="Arial"/>
        </w:rPr>
        <w:t xml:space="preserve"> é proposital</w:t>
      </w:r>
      <w:r w:rsidR="00530E21">
        <w:rPr>
          <w:rFonts w:ascii="Arial" w:hAnsi="Arial" w:cs="Arial"/>
        </w:rPr>
        <w:t xml:space="preserve">, </w:t>
      </w:r>
      <w:r w:rsidR="00BA2897">
        <w:rPr>
          <w:rFonts w:ascii="Arial" w:hAnsi="Arial" w:cs="Arial"/>
        </w:rPr>
        <w:t xml:space="preserve">uma vez que </w:t>
      </w:r>
      <w:r w:rsidR="00DD05CA">
        <w:rPr>
          <w:rFonts w:ascii="Arial" w:hAnsi="Arial" w:cs="Arial"/>
        </w:rPr>
        <w:t xml:space="preserve">referida Portaria </w:t>
      </w:r>
      <w:r w:rsidR="00DD05CA" w:rsidRPr="006E62FA">
        <w:rPr>
          <w:rFonts w:ascii="Arial" w:hAnsi="Arial" w:cs="Arial"/>
        </w:rPr>
        <w:t>ANP nº 116/00</w:t>
      </w:r>
      <w:r w:rsidR="002A69F5">
        <w:rPr>
          <w:rFonts w:ascii="Arial" w:hAnsi="Arial" w:cs="Arial"/>
        </w:rPr>
        <w:t xml:space="preserve"> – ou qualquer outra norma da ANP</w:t>
      </w:r>
      <w:r w:rsidR="00C66064">
        <w:rPr>
          <w:rFonts w:ascii="Arial" w:hAnsi="Arial" w:cs="Arial"/>
        </w:rPr>
        <w:t>, assim como</w:t>
      </w:r>
      <w:r w:rsidR="002A69F5">
        <w:rPr>
          <w:rFonts w:ascii="Arial" w:hAnsi="Arial" w:cs="Arial"/>
        </w:rPr>
        <w:t xml:space="preserve"> a própria Lei do Petróleo –</w:t>
      </w:r>
      <w:r w:rsidR="00DD05CA">
        <w:rPr>
          <w:rFonts w:ascii="Arial" w:hAnsi="Arial" w:cs="Arial"/>
        </w:rPr>
        <w:t xml:space="preserve"> </w:t>
      </w:r>
      <w:r w:rsidR="00DD05CA" w:rsidRPr="00360F5C">
        <w:rPr>
          <w:rFonts w:ascii="Arial" w:hAnsi="Arial" w:cs="Arial"/>
          <w:b/>
        </w:rPr>
        <w:t>não traz</w:t>
      </w:r>
      <w:r w:rsidR="00DD05CA">
        <w:rPr>
          <w:rFonts w:ascii="Arial" w:hAnsi="Arial" w:cs="Arial"/>
        </w:rPr>
        <w:t xml:space="preserve"> qualquer previsão sobre a </w:t>
      </w:r>
      <w:r w:rsidR="00DD05CA" w:rsidRPr="00360F5C">
        <w:rPr>
          <w:rFonts w:ascii="Arial" w:hAnsi="Arial" w:cs="Arial"/>
          <w:b/>
        </w:rPr>
        <w:t>obrigatoriedade</w:t>
      </w:r>
      <w:r w:rsidR="00DD05CA">
        <w:rPr>
          <w:rFonts w:ascii="Arial" w:hAnsi="Arial" w:cs="Arial"/>
        </w:rPr>
        <w:t xml:space="preserve"> de o revendedor celebrar qualquer tipo de </w:t>
      </w:r>
      <w:r w:rsidR="00DD05CA" w:rsidRPr="00360F5C">
        <w:rPr>
          <w:rFonts w:ascii="Arial" w:hAnsi="Arial" w:cs="Arial"/>
          <w:b/>
        </w:rPr>
        <w:t>contrato com a distribuidora bandeirada</w:t>
      </w:r>
      <w:r w:rsidR="00DD05CA">
        <w:rPr>
          <w:rFonts w:ascii="Arial" w:hAnsi="Arial" w:cs="Arial"/>
        </w:rPr>
        <w:t xml:space="preserve"> a qual pretende se vincular</w:t>
      </w:r>
      <w:r w:rsidR="0003137F">
        <w:rPr>
          <w:rFonts w:ascii="Arial" w:hAnsi="Arial" w:cs="Arial"/>
        </w:rPr>
        <w:t>; e, tampouco, contratos de longo prazo</w:t>
      </w:r>
      <w:r w:rsidR="00754F84">
        <w:rPr>
          <w:rFonts w:ascii="Arial" w:hAnsi="Arial" w:cs="Arial"/>
        </w:rPr>
        <w:t>,</w:t>
      </w:r>
      <w:r w:rsidR="0003137F">
        <w:rPr>
          <w:rFonts w:ascii="Arial" w:hAnsi="Arial" w:cs="Arial"/>
        </w:rPr>
        <w:t xml:space="preserve"> com cláusulas de exclusividade e elevadíssimas</w:t>
      </w:r>
      <w:r w:rsidR="00754F84">
        <w:rPr>
          <w:rFonts w:ascii="Arial" w:hAnsi="Arial" w:cs="Arial"/>
        </w:rPr>
        <w:t xml:space="preserve"> e “proibitivas”</w:t>
      </w:r>
      <w:r w:rsidR="0003137F">
        <w:rPr>
          <w:rFonts w:ascii="Arial" w:hAnsi="Arial" w:cs="Arial"/>
        </w:rPr>
        <w:t xml:space="preserve"> multas</w:t>
      </w:r>
      <w:r w:rsidR="00F56786">
        <w:rPr>
          <w:rFonts w:ascii="Arial" w:hAnsi="Arial" w:cs="Arial"/>
        </w:rPr>
        <w:t>,</w:t>
      </w:r>
      <w:r w:rsidR="0003137F">
        <w:rPr>
          <w:rFonts w:ascii="Arial" w:hAnsi="Arial" w:cs="Arial"/>
        </w:rPr>
        <w:t xml:space="preserve"> tornam impraticável a migração de um revendedor de uma bandeira para outra ou mesmo tornar-se bandeira branca</w:t>
      </w:r>
      <w:r w:rsidR="00DD05CA">
        <w:rPr>
          <w:rFonts w:ascii="Arial" w:hAnsi="Arial" w:cs="Arial"/>
        </w:rPr>
        <w:t xml:space="preserve">. </w:t>
      </w:r>
    </w:p>
    <w:p w:rsidR="002A69F5" w:rsidRDefault="002A69F5" w:rsidP="002A69F5">
      <w:pPr>
        <w:ind w:firstLine="708"/>
        <w:jc w:val="both"/>
        <w:rPr>
          <w:rFonts w:ascii="Arial" w:hAnsi="Arial" w:cs="Arial"/>
        </w:rPr>
      </w:pPr>
    </w:p>
    <w:p w:rsidR="00AE6E3B" w:rsidRDefault="0003137F" w:rsidP="00F56786">
      <w:pPr>
        <w:ind w:firstLine="708"/>
        <w:jc w:val="both"/>
        <w:rPr>
          <w:rFonts w:ascii="Arial" w:hAnsi="Arial" w:cs="Arial"/>
        </w:rPr>
      </w:pPr>
      <w:r>
        <w:rPr>
          <w:rFonts w:ascii="Arial" w:hAnsi="Arial" w:cs="Arial"/>
        </w:rPr>
        <w:t xml:space="preserve">Com efeito e </w:t>
      </w:r>
      <w:r w:rsidR="00DD05CA">
        <w:rPr>
          <w:rFonts w:ascii="Arial" w:hAnsi="Arial" w:cs="Arial"/>
        </w:rPr>
        <w:t>conforme explicaremos mais adiante,</w:t>
      </w:r>
      <w:r>
        <w:rPr>
          <w:rFonts w:ascii="Arial" w:hAnsi="Arial" w:cs="Arial"/>
        </w:rPr>
        <w:t xml:space="preserve"> a vinculação contratual, as cláusulas de exclusividade e as elevadas penalidades </w:t>
      </w:r>
      <w:r w:rsidR="00DD05CA">
        <w:rPr>
          <w:rFonts w:ascii="Arial" w:hAnsi="Arial" w:cs="Arial"/>
        </w:rPr>
        <w:t xml:space="preserve"> </w:t>
      </w:r>
      <w:r w:rsidR="00132E2F">
        <w:rPr>
          <w:rFonts w:ascii="Arial" w:hAnsi="Arial" w:cs="Arial"/>
        </w:rPr>
        <w:t>torna</w:t>
      </w:r>
      <w:r>
        <w:rPr>
          <w:rFonts w:ascii="Arial" w:hAnsi="Arial" w:cs="Arial"/>
        </w:rPr>
        <w:t>m</w:t>
      </w:r>
      <w:r w:rsidR="00132E2F">
        <w:rPr>
          <w:rFonts w:ascii="Arial" w:hAnsi="Arial" w:cs="Arial"/>
        </w:rPr>
        <w:t xml:space="preserve"> mais dificultosa a mobilidade do revendedor de uma bandeira para outra</w:t>
      </w:r>
      <w:r w:rsidR="00360F5C">
        <w:rPr>
          <w:rFonts w:ascii="Arial" w:hAnsi="Arial" w:cs="Arial"/>
        </w:rPr>
        <w:t>,</w:t>
      </w:r>
      <w:r w:rsidR="00132E2F">
        <w:rPr>
          <w:rFonts w:ascii="Arial" w:hAnsi="Arial" w:cs="Arial"/>
        </w:rPr>
        <w:t xml:space="preserve"> elevando as barreiras à entrada e expansão de novos distribuidores, bandeirados ou não,</w:t>
      </w:r>
      <w:r w:rsidR="00360F5C">
        <w:rPr>
          <w:rFonts w:ascii="Arial" w:hAnsi="Arial" w:cs="Arial"/>
        </w:rPr>
        <w:t xml:space="preserve"> </w:t>
      </w:r>
      <w:r w:rsidR="00F56786">
        <w:rPr>
          <w:rFonts w:ascii="Arial" w:hAnsi="Arial" w:cs="Arial"/>
        </w:rPr>
        <w:t xml:space="preserve">ou </w:t>
      </w:r>
      <w:r w:rsidR="00F56786" w:rsidRPr="00A828BA">
        <w:rPr>
          <w:rFonts w:ascii="Arial" w:hAnsi="Arial" w:cs="Arial"/>
          <w:b/>
        </w:rPr>
        <w:t>comercialização direta de etanol</w:t>
      </w:r>
      <w:r w:rsidR="00F56786">
        <w:rPr>
          <w:rFonts w:ascii="Arial" w:hAnsi="Arial" w:cs="Arial"/>
          <w:b/>
        </w:rPr>
        <w:t xml:space="preserve"> hidratado</w:t>
      </w:r>
      <w:r w:rsidR="00F56786">
        <w:rPr>
          <w:rFonts w:ascii="Arial" w:hAnsi="Arial" w:cs="Arial"/>
        </w:rPr>
        <w:t xml:space="preserve">, </w:t>
      </w:r>
      <w:r w:rsidR="00360F5C">
        <w:rPr>
          <w:rFonts w:ascii="Arial" w:hAnsi="Arial" w:cs="Arial"/>
        </w:rPr>
        <w:t>especialmente</w:t>
      </w:r>
      <w:r w:rsidR="00132E2F">
        <w:rPr>
          <w:rFonts w:ascii="Arial" w:hAnsi="Arial" w:cs="Arial"/>
        </w:rPr>
        <w:t xml:space="preserve"> quando </w:t>
      </w:r>
      <w:r w:rsidR="00360F5C">
        <w:rPr>
          <w:rFonts w:ascii="Arial" w:hAnsi="Arial" w:cs="Arial"/>
        </w:rPr>
        <w:t xml:space="preserve">há </w:t>
      </w:r>
      <w:r w:rsidR="00132E2F">
        <w:rPr>
          <w:rFonts w:ascii="Arial" w:hAnsi="Arial" w:cs="Arial"/>
        </w:rPr>
        <w:t xml:space="preserve">um número </w:t>
      </w:r>
      <w:r w:rsidR="00360F5C">
        <w:rPr>
          <w:rFonts w:ascii="Arial" w:hAnsi="Arial" w:cs="Arial"/>
        </w:rPr>
        <w:t>elevado</w:t>
      </w:r>
      <w:r w:rsidR="00132E2F">
        <w:rPr>
          <w:rFonts w:ascii="Arial" w:hAnsi="Arial" w:cs="Arial"/>
        </w:rPr>
        <w:t xml:space="preserve"> de postos </w:t>
      </w:r>
      <w:r w:rsidR="00C66064">
        <w:rPr>
          <w:rFonts w:ascii="Arial" w:hAnsi="Arial" w:cs="Arial"/>
        </w:rPr>
        <w:t>sujeitos a</w:t>
      </w:r>
      <w:r w:rsidR="00360F5C">
        <w:rPr>
          <w:rFonts w:ascii="Arial" w:hAnsi="Arial" w:cs="Arial"/>
        </w:rPr>
        <w:t xml:space="preserve"> este </w:t>
      </w:r>
      <w:r w:rsidR="009C104F">
        <w:rPr>
          <w:rFonts w:ascii="Arial" w:hAnsi="Arial" w:cs="Arial"/>
        </w:rPr>
        <w:t>vínculo contratual</w:t>
      </w:r>
      <w:r w:rsidR="00C66064">
        <w:rPr>
          <w:rFonts w:ascii="Arial" w:hAnsi="Arial" w:cs="Arial"/>
        </w:rPr>
        <w:t xml:space="preserve"> por um longo prazo</w:t>
      </w:r>
      <w:r w:rsidR="00A90816">
        <w:rPr>
          <w:rFonts w:ascii="Arial" w:hAnsi="Arial" w:cs="Arial"/>
        </w:rPr>
        <w:t>. A</w:t>
      </w:r>
      <w:r w:rsidR="00B70C39">
        <w:rPr>
          <w:rFonts w:ascii="Arial" w:hAnsi="Arial" w:cs="Arial"/>
        </w:rPr>
        <w:t xml:space="preserve"> expansão da própria oferta dos combustíveis</w:t>
      </w:r>
      <w:r w:rsidR="00A90816">
        <w:rPr>
          <w:rFonts w:ascii="Arial" w:hAnsi="Arial" w:cs="Arial"/>
        </w:rPr>
        <w:t xml:space="preserve"> e redução de seus preços também são prejudicadas </w:t>
      </w:r>
      <w:r w:rsidR="00C66064">
        <w:rPr>
          <w:rFonts w:ascii="Arial" w:hAnsi="Arial" w:cs="Arial"/>
        </w:rPr>
        <w:t>por</w:t>
      </w:r>
      <w:r w:rsidR="00A90816">
        <w:rPr>
          <w:rFonts w:ascii="Arial" w:hAnsi="Arial" w:cs="Arial"/>
        </w:rPr>
        <w:t xml:space="preserve"> esses contratos, na medida em que m</w:t>
      </w:r>
      <w:r w:rsidR="009C104F">
        <w:rPr>
          <w:rFonts w:ascii="Arial" w:hAnsi="Arial" w:cs="Arial"/>
        </w:rPr>
        <w:t>itiga</w:t>
      </w:r>
      <w:r w:rsidR="00A90816">
        <w:rPr>
          <w:rFonts w:ascii="Arial" w:hAnsi="Arial" w:cs="Arial"/>
        </w:rPr>
        <w:t>m</w:t>
      </w:r>
      <w:r w:rsidR="009C104F">
        <w:rPr>
          <w:rFonts w:ascii="Arial" w:hAnsi="Arial" w:cs="Arial"/>
        </w:rPr>
        <w:t xml:space="preserve"> e limita</w:t>
      </w:r>
      <w:r w:rsidR="00A90816">
        <w:rPr>
          <w:rFonts w:ascii="Arial" w:hAnsi="Arial" w:cs="Arial"/>
        </w:rPr>
        <w:t>m</w:t>
      </w:r>
      <w:r w:rsidR="009C104F">
        <w:rPr>
          <w:rFonts w:ascii="Arial" w:hAnsi="Arial" w:cs="Arial"/>
        </w:rPr>
        <w:t xml:space="preserve"> a livre concorrência e a livre iniciativa </w:t>
      </w:r>
      <w:r w:rsidR="00B70C39">
        <w:rPr>
          <w:rFonts w:ascii="Arial" w:hAnsi="Arial" w:cs="Arial"/>
        </w:rPr>
        <w:t>em todos os elos da cadeia</w:t>
      </w:r>
      <w:r w:rsidR="009C104F">
        <w:rPr>
          <w:rFonts w:ascii="Arial" w:hAnsi="Arial" w:cs="Arial"/>
        </w:rPr>
        <w:t>.</w:t>
      </w:r>
    </w:p>
    <w:p w:rsidR="00530E21" w:rsidRDefault="00530E21" w:rsidP="008506A4">
      <w:pPr>
        <w:ind w:firstLine="708"/>
        <w:jc w:val="both"/>
        <w:rPr>
          <w:rFonts w:ascii="Arial" w:hAnsi="Arial" w:cs="Arial"/>
        </w:rPr>
      </w:pPr>
    </w:p>
    <w:p w:rsidR="006F3D2D" w:rsidRDefault="00B70C39" w:rsidP="008506A4">
      <w:pPr>
        <w:ind w:firstLine="708"/>
        <w:jc w:val="both"/>
        <w:rPr>
          <w:rFonts w:ascii="Arial" w:hAnsi="Arial" w:cs="Arial"/>
        </w:rPr>
      </w:pPr>
      <w:r>
        <w:rPr>
          <w:rFonts w:ascii="Arial" w:hAnsi="Arial" w:cs="Arial"/>
        </w:rPr>
        <w:t>E</w:t>
      </w:r>
      <w:r w:rsidR="009C104F">
        <w:rPr>
          <w:rFonts w:ascii="Arial" w:hAnsi="Arial" w:cs="Arial"/>
        </w:rPr>
        <w:t xml:space="preserve">sta observação é de suma </w:t>
      </w:r>
      <w:r w:rsidR="00530E21">
        <w:rPr>
          <w:rFonts w:ascii="Arial" w:hAnsi="Arial" w:cs="Arial"/>
        </w:rPr>
        <w:t>relev</w:t>
      </w:r>
      <w:r w:rsidR="009C104F">
        <w:rPr>
          <w:rFonts w:ascii="Arial" w:hAnsi="Arial" w:cs="Arial"/>
        </w:rPr>
        <w:t>ância</w:t>
      </w:r>
      <w:r w:rsidR="00530E21">
        <w:rPr>
          <w:rFonts w:ascii="Arial" w:hAnsi="Arial" w:cs="Arial"/>
        </w:rPr>
        <w:t xml:space="preserve"> para a presente análise, pois</w:t>
      </w:r>
      <w:r w:rsidR="004F6E35">
        <w:rPr>
          <w:rFonts w:ascii="Arial" w:hAnsi="Arial" w:cs="Arial"/>
        </w:rPr>
        <w:t>,</w:t>
      </w:r>
      <w:r w:rsidR="00530E21">
        <w:rPr>
          <w:rFonts w:ascii="Arial" w:hAnsi="Arial" w:cs="Arial"/>
        </w:rPr>
        <w:t xml:space="preserve"> dentro do espírito da Lei do Petr</w:t>
      </w:r>
      <w:r w:rsidR="004F6E35">
        <w:rPr>
          <w:rFonts w:ascii="Arial" w:hAnsi="Arial" w:cs="Arial"/>
        </w:rPr>
        <w:t>óleo</w:t>
      </w:r>
      <w:r w:rsidR="009C104F">
        <w:rPr>
          <w:rFonts w:ascii="Arial" w:hAnsi="Arial" w:cs="Arial"/>
        </w:rPr>
        <w:t>,</w:t>
      </w:r>
      <w:r w:rsidR="00530E21">
        <w:rPr>
          <w:rFonts w:ascii="Arial" w:hAnsi="Arial" w:cs="Arial"/>
        </w:rPr>
        <w:t xml:space="preserve"> que tem no abastecimento, na defesa do consumidor, na livre concorrência e na livre iniciativa, quatro de seus princ</w:t>
      </w:r>
      <w:r w:rsidR="004F6E35">
        <w:rPr>
          <w:rFonts w:ascii="Arial" w:hAnsi="Arial" w:cs="Arial"/>
        </w:rPr>
        <w:t xml:space="preserve">ípios basilares, faz-se mister </w:t>
      </w:r>
      <w:r w:rsidR="006363D2">
        <w:rPr>
          <w:rFonts w:ascii="Arial" w:hAnsi="Arial" w:cs="Arial"/>
        </w:rPr>
        <w:t xml:space="preserve">a adoção de </w:t>
      </w:r>
      <w:r w:rsidR="004F6E35">
        <w:rPr>
          <w:rFonts w:ascii="Arial" w:hAnsi="Arial" w:cs="Arial"/>
        </w:rPr>
        <w:t>um</w:t>
      </w:r>
      <w:r w:rsidR="006363D2">
        <w:rPr>
          <w:rFonts w:ascii="Arial" w:hAnsi="Arial" w:cs="Arial"/>
        </w:rPr>
        <w:t>a interpretação sistemá</w:t>
      </w:r>
      <w:r w:rsidR="004F6E35">
        <w:rPr>
          <w:rFonts w:ascii="Arial" w:hAnsi="Arial" w:cs="Arial"/>
        </w:rPr>
        <w:t>tica</w:t>
      </w:r>
      <w:r w:rsidR="006363D2">
        <w:rPr>
          <w:rFonts w:ascii="Arial" w:hAnsi="Arial" w:cs="Arial"/>
        </w:rPr>
        <w:t xml:space="preserve"> </w:t>
      </w:r>
      <w:r w:rsidR="006F3D2D">
        <w:rPr>
          <w:rFonts w:ascii="Arial" w:hAnsi="Arial" w:cs="Arial"/>
        </w:rPr>
        <w:t xml:space="preserve">do </w:t>
      </w:r>
      <w:r w:rsidR="006363D2">
        <w:rPr>
          <w:rFonts w:ascii="Arial" w:hAnsi="Arial" w:cs="Arial"/>
        </w:rPr>
        <w:t xml:space="preserve">arcabouço </w:t>
      </w:r>
      <w:r w:rsidR="006F3D2D">
        <w:rPr>
          <w:rFonts w:ascii="Arial" w:hAnsi="Arial" w:cs="Arial"/>
        </w:rPr>
        <w:t>regulatório</w:t>
      </w:r>
      <w:r w:rsidR="006363D2">
        <w:rPr>
          <w:rFonts w:ascii="Arial" w:hAnsi="Arial" w:cs="Arial"/>
        </w:rPr>
        <w:t>.</w:t>
      </w:r>
    </w:p>
    <w:p w:rsidR="00A90816" w:rsidRDefault="00A90816" w:rsidP="008506A4">
      <w:pPr>
        <w:ind w:firstLine="708"/>
        <w:jc w:val="both"/>
        <w:rPr>
          <w:rFonts w:ascii="Arial" w:hAnsi="Arial" w:cs="Arial"/>
        </w:rPr>
      </w:pPr>
    </w:p>
    <w:p w:rsidR="00530E21" w:rsidRDefault="00FC4EFB" w:rsidP="008506A4">
      <w:pPr>
        <w:ind w:firstLine="708"/>
        <w:jc w:val="both"/>
        <w:rPr>
          <w:rFonts w:ascii="Arial" w:hAnsi="Arial" w:cs="Arial"/>
        </w:rPr>
      </w:pPr>
      <w:r>
        <w:rPr>
          <w:rFonts w:ascii="Arial" w:hAnsi="Arial" w:cs="Arial"/>
        </w:rPr>
        <w:t>Nesse contexto</w:t>
      </w:r>
      <w:r w:rsidR="00F56786">
        <w:rPr>
          <w:rFonts w:ascii="Arial" w:hAnsi="Arial" w:cs="Arial"/>
        </w:rPr>
        <w:t xml:space="preserve"> e</w:t>
      </w:r>
      <w:r>
        <w:rPr>
          <w:rFonts w:ascii="Arial" w:hAnsi="Arial" w:cs="Arial"/>
        </w:rPr>
        <w:t xml:space="preserve"> </w:t>
      </w:r>
      <w:r w:rsidR="006F3D2D">
        <w:rPr>
          <w:rFonts w:ascii="Arial" w:hAnsi="Arial" w:cs="Arial"/>
        </w:rPr>
        <w:t>a</w:t>
      </w:r>
      <w:r w:rsidR="006363D2">
        <w:rPr>
          <w:rFonts w:ascii="Arial" w:hAnsi="Arial" w:cs="Arial"/>
        </w:rPr>
        <w:t xml:space="preserve"> partir de uma interpretação sistem</w:t>
      </w:r>
      <w:r w:rsidR="00917B76">
        <w:rPr>
          <w:rFonts w:ascii="Arial" w:hAnsi="Arial" w:cs="Arial"/>
        </w:rPr>
        <w:t>ática</w:t>
      </w:r>
      <w:r w:rsidR="00F56786">
        <w:rPr>
          <w:rFonts w:ascii="Arial" w:hAnsi="Arial" w:cs="Arial"/>
        </w:rPr>
        <w:t>,</w:t>
      </w:r>
      <w:r w:rsidR="00917B76">
        <w:rPr>
          <w:rFonts w:ascii="Arial" w:hAnsi="Arial" w:cs="Arial"/>
        </w:rPr>
        <w:t xml:space="preserve"> tem-se como </w:t>
      </w:r>
      <w:r w:rsidR="00F56786">
        <w:rPr>
          <w:rFonts w:ascii="Arial" w:hAnsi="Arial" w:cs="Arial"/>
        </w:rPr>
        <w:t xml:space="preserve">cristalino </w:t>
      </w:r>
      <w:r w:rsidR="00917B76">
        <w:rPr>
          <w:rFonts w:ascii="Arial" w:hAnsi="Arial" w:cs="Arial"/>
        </w:rPr>
        <w:t xml:space="preserve">que </w:t>
      </w:r>
      <w:r w:rsidR="004E6218">
        <w:rPr>
          <w:rFonts w:ascii="Arial" w:hAnsi="Arial" w:cs="Arial"/>
        </w:rPr>
        <w:t xml:space="preserve">a </w:t>
      </w:r>
      <w:r w:rsidR="004E6218" w:rsidRPr="006F3D2D">
        <w:rPr>
          <w:rFonts w:ascii="Arial" w:hAnsi="Arial" w:cs="Arial"/>
          <w:b/>
        </w:rPr>
        <w:t xml:space="preserve">regra de embandeiramento </w:t>
      </w:r>
      <w:r w:rsidR="004E6218" w:rsidRPr="006F3D2D">
        <w:rPr>
          <w:rFonts w:ascii="Arial" w:hAnsi="Arial" w:cs="Arial"/>
          <w:b/>
          <w:u w:val="single"/>
        </w:rPr>
        <w:t>jamais</w:t>
      </w:r>
      <w:r w:rsidR="004E6218" w:rsidRPr="006F3D2D">
        <w:rPr>
          <w:rFonts w:ascii="Arial" w:hAnsi="Arial" w:cs="Arial"/>
          <w:b/>
        </w:rPr>
        <w:t xml:space="preserve"> visou limitar ou restringir a escolha do revendedor-varejista de se associar à rede de uma bandeira</w:t>
      </w:r>
      <w:r w:rsidR="004E6218">
        <w:rPr>
          <w:rFonts w:ascii="Arial" w:hAnsi="Arial" w:cs="Arial"/>
        </w:rPr>
        <w:t xml:space="preserve"> e, tampouco, </w:t>
      </w:r>
      <w:r w:rsidR="004E6218" w:rsidRPr="006F3D2D">
        <w:rPr>
          <w:rFonts w:ascii="Arial" w:hAnsi="Arial" w:cs="Arial"/>
          <w:b/>
        </w:rPr>
        <w:t xml:space="preserve">a </w:t>
      </w:r>
      <w:r w:rsidR="00917B76" w:rsidRPr="006F3D2D">
        <w:rPr>
          <w:rFonts w:ascii="Arial" w:hAnsi="Arial" w:cs="Arial"/>
          <w:b/>
        </w:rPr>
        <w:t xml:space="preserve">sua </w:t>
      </w:r>
      <w:r w:rsidR="004E6218" w:rsidRPr="006F3D2D">
        <w:rPr>
          <w:rFonts w:ascii="Arial" w:hAnsi="Arial" w:cs="Arial"/>
          <w:b/>
        </w:rPr>
        <w:t xml:space="preserve">escolha de se tornar </w:t>
      </w:r>
      <w:r w:rsidR="00917B76" w:rsidRPr="006F3D2D">
        <w:rPr>
          <w:rFonts w:ascii="Arial" w:hAnsi="Arial" w:cs="Arial"/>
          <w:b/>
        </w:rPr>
        <w:t>um posto de bandeira branca</w:t>
      </w:r>
      <w:r w:rsidR="006F3D2D">
        <w:rPr>
          <w:rFonts w:ascii="Arial" w:hAnsi="Arial" w:cs="Arial"/>
        </w:rPr>
        <w:t>.</w:t>
      </w:r>
      <w:r w:rsidR="000E6323">
        <w:rPr>
          <w:rFonts w:ascii="Arial" w:hAnsi="Arial" w:cs="Arial"/>
        </w:rPr>
        <w:t xml:space="preserve"> </w:t>
      </w:r>
      <w:r w:rsidR="00F76BD0">
        <w:rPr>
          <w:rFonts w:ascii="Arial" w:hAnsi="Arial" w:cs="Arial"/>
          <w:b/>
        </w:rPr>
        <w:t>São</w:t>
      </w:r>
      <w:r w:rsidR="00D8050F" w:rsidRPr="00F76BD0">
        <w:rPr>
          <w:rFonts w:ascii="Arial" w:hAnsi="Arial" w:cs="Arial"/>
          <w:b/>
        </w:rPr>
        <w:t xml:space="preserve"> </w:t>
      </w:r>
      <w:r w:rsidR="00F76BD0">
        <w:rPr>
          <w:rFonts w:ascii="Arial" w:hAnsi="Arial" w:cs="Arial"/>
          <w:b/>
        </w:rPr>
        <w:t xml:space="preserve">os </w:t>
      </w:r>
      <w:r w:rsidR="00D8050F" w:rsidRPr="00F76BD0">
        <w:rPr>
          <w:rFonts w:ascii="Arial" w:hAnsi="Arial" w:cs="Arial"/>
          <w:b/>
          <w:u w:val="single"/>
        </w:rPr>
        <w:t>contratos de exclusividade</w:t>
      </w:r>
      <w:r w:rsidR="00D8050F" w:rsidRPr="00F76BD0">
        <w:rPr>
          <w:rFonts w:ascii="Arial" w:hAnsi="Arial" w:cs="Arial"/>
          <w:b/>
        </w:rPr>
        <w:t xml:space="preserve">, tratados mais adiante, </w:t>
      </w:r>
      <w:r w:rsidR="00F76BD0">
        <w:rPr>
          <w:rFonts w:ascii="Arial" w:hAnsi="Arial" w:cs="Arial"/>
          <w:b/>
        </w:rPr>
        <w:t xml:space="preserve">que </w:t>
      </w:r>
      <w:r w:rsidR="00682296" w:rsidRPr="00F76BD0">
        <w:rPr>
          <w:rFonts w:ascii="Arial" w:hAnsi="Arial" w:cs="Arial"/>
          <w:b/>
        </w:rPr>
        <w:t xml:space="preserve">retiram esta </w:t>
      </w:r>
      <w:r w:rsidR="00682296" w:rsidRPr="00F76BD0">
        <w:rPr>
          <w:rFonts w:ascii="Arial" w:hAnsi="Arial" w:cs="Arial"/>
          <w:b/>
        </w:rPr>
        <w:lastRenderedPageBreak/>
        <w:t>liberdade, especialmente quando trazem longos prazos de vigência</w:t>
      </w:r>
      <w:r w:rsidR="00F56786">
        <w:rPr>
          <w:rFonts w:ascii="Arial" w:hAnsi="Arial" w:cs="Arial"/>
          <w:b/>
        </w:rPr>
        <w:t>,</w:t>
      </w:r>
      <w:r w:rsidR="000E6323" w:rsidRPr="00F76BD0">
        <w:rPr>
          <w:rFonts w:ascii="Arial" w:hAnsi="Arial" w:cs="Arial"/>
          <w:b/>
        </w:rPr>
        <w:t xml:space="preserve"> multas elevadíssimas e desproporcionais</w:t>
      </w:r>
      <w:r w:rsidR="00F56786">
        <w:rPr>
          <w:rFonts w:ascii="Arial" w:hAnsi="Arial" w:cs="Arial"/>
          <w:b/>
        </w:rPr>
        <w:t xml:space="preserve"> e cláusulas abusivas, como por exemplo, que exigem a aquisição de volumes mínimos, sem qualquer regra de precificação</w:t>
      </w:r>
      <w:r w:rsidR="00682296">
        <w:rPr>
          <w:rFonts w:ascii="Arial" w:hAnsi="Arial" w:cs="Arial"/>
        </w:rPr>
        <w:t>.</w:t>
      </w:r>
    </w:p>
    <w:p w:rsidR="00AE6E3B" w:rsidRDefault="00AE6E3B" w:rsidP="008506A4">
      <w:pPr>
        <w:ind w:firstLine="708"/>
        <w:jc w:val="both"/>
        <w:rPr>
          <w:rFonts w:ascii="Arial" w:hAnsi="Arial" w:cs="Arial"/>
        </w:rPr>
      </w:pPr>
    </w:p>
    <w:p w:rsidR="005C2095" w:rsidRDefault="00682296" w:rsidP="002F0D71">
      <w:pPr>
        <w:ind w:firstLine="708"/>
        <w:jc w:val="both"/>
        <w:rPr>
          <w:rFonts w:ascii="Arial" w:hAnsi="Arial" w:cs="Arial"/>
        </w:rPr>
      </w:pPr>
      <w:r>
        <w:rPr>
          <w:rFonts w:ascii="Arial" w:hAnsi="Arial" w:cs="Arial"/>
        </w:rPr>
        <w:t xml:space="preserve">Observa-se ainda que a </w:t>
      </w:r>
      <w:r w:rsidRPr="006E62FA">
        <w:rPr>
          <w:rFonts w:ascii="Arial" w:hAnsi="Arial" w:cs="Arial"/>
        </w:rPr>
        <w:t>Portaria ANP nº 116/00</w:t>
      </w:r>
      <w:r w:rsidR="005667E2">
        <w:rPr>
          <w:rFonts w:ascii="Arial" w:hAnsi="Arial" w:cs="Arial"/>
        </w:rPr>
        <w:t xml:space="preserve"> não trouxe, seja </w:t>
      </w:r>
      <w:r w:rsidR="000E6323">
        <w:rPr>
          <w:rFonts w:ascii="Arial" w:hAnsi="Arial" w:cs="Arial"/>
        </w:rPr>
        <w:t xml:space="preserve">em seus </w:t>
      </w:r>
      <w:r w:rsidR="005667E2">
        <w:rPr>
          <w:rFonts w:ascii="Arial" w:hAnsi="Arial" w:cs="Arial"/>
        </w:rPr>
        <w:t>“</w:t>
      </w:r>
      <w:r w:rsidR="005667E2" w:rsidRPr="000E6323">
        <w:rPr>
          <w:rFonts w:ascii="Arial" w:hAnsi="Arial" w:cs="Arial"/>
        </w:rPr>
        <w:t>Considerand</w:t>
      </w:r>
      <w:r w:rsidR="000E6323">
        <w:rPr>
          <w:rFonts w:ascii="Arial" w:hAnsi="Arial" w:cs="Arial"/>
        </w:rPr>
        <w:t>os</w:t>
      </w:r>
      <w:r w:rsidR="005667E2">
        <w:rPr>
          <w:rFonts w:ascii="Arial" w:hAnsi="Arial" w:cs="Arial"/>
        </w:rPr>
        <w:t>”, seja ainda na forma de exposição de motivos</w:t>
      </w:r>
      <w:r w:rsidR="00244A28">
        <w:rPr>
          <w:rFonts w:ascii="Arial" w:hAnsi="Arial" w:cs="Arial"/>
        </w:rPr>
        <w:t xml:space="preserve"> ou nota técnica</w:t>
      </w:r>
      <w:r w:rsidR="005667E2">
        <w:rPr>
          <w:rFonts w:ascii="Arial" w:hAnsi="Arial" w:cs="Arial"/>
        </w:rPr>
        <w:t>, maiores explicações sob</w:t>
      </w:r>
      <w:r w:rsidR="001D7D56">
        <w:rPr>
          <w:rFonts w:ascii="Arial" w:hAnsi="Arial" w:cs="Arial"/>
        </w:rPr>
        <w:t>re a racionalidade e eficiência</w:t>
      </w:r>
      <w:r w:rsidR="005667E2">
        <w:rPr>
          <w:rFonts w:ascii="Arial" w:hAnsi="Arial" w:cs="Arial"/>
        </w:rPr>
        <w:t xml:space="preserve"> desta regra de embandeiramento</w:t>
      </w:r>
      <w:r w:rsidR="001D7D56">
        <w:rPr>
          <w:rFonts w:ascii="Arial" w:hAnsi="Arial" w:cs="Arial"/>
        </w:rPr>
        <w:t xml:space="preserve">, ainda que possamos considerar que o seu objetivo maior seria conferir à distribuidora uma maior obrigação </w:t>
      </w:r>
      <w:r w:rsidR="000E6323">
        <w:rPr>
          <w:rFonts w:ascii="Arial" w:hAnsi="Arial" w:cs="Arial"/>
        </w:rPr>
        <w:t>e incentivos para</w:t>
      </w:r>
      <w:r w:rsidR="001D7D56">
        <w:rPr>
          <w:rFonts w:ascii="Arial" w:hAnsi="Arial" w:cs="Arial"/>
        </w:rPr>
        <w:t xml:space="preserve"> fiscalizar seus postos revendedores</w:t>
      </w:r>
      <w:r w:rsidR="00A90816">
        <w:rPr>
          <w:rFonts w:ascii="Arial" w:hAnsi="Arial" w:cs="Arial"/>
        </w:rPr>
        <w:t xml:space="preserve">, </w:t>
      </w:r>
      <w:r w:rsidR="000E6323">
        <w:rPr>
          <w:rFonts w:ascii="Arial" w:hAnsi="Arial" w:cs="Arial"/>
        </w:rPr>
        <w:t>garanti</w:t>
      </w:r>
      <w:r w:rsidR="00A90816">
        <w:rPr>
          <w:rFonts w:ascii="Arial" w:hAnsi="Arial" w:cs="Arial"/>
        </w:rPr>
        <w:t>ndo ainda</w:t>
      </w:r>
      <w:r w:rsidR="000E6323">
        <w:rPr>
          <w:rFonts w:ascii="Arial" w:hAnsi="Arial" w:cs="Arial"/>
        </w:rPr>
        <w:t xml:space="preserve"> preços e condições competitivas para </w:t>
      </w:r>
      <w:r w:rsidR="002669F7">
        <w:rPr>
          <w:rFonts w:ascii="Arial" w:hAnsi="Arial" w:cs="Arial"/>
        </w:rPr>
        <w:t xml:space="preserve">a implementação de uma concorrência </w:t>
      </w:r>
      <w:r w:rsidR="00100B0B">
        <w:rPr>
          <w:rFonts w:ascii="Arial" w:hAnsi="Arial" w:cs="Arial"/>
        </w:rPr>
        <w:t xml:space="preserve">intra e </w:t>
      </w:r>
      <w:r w:rsidR="002669F7">
        <w:rPr>
          <w:rFonts w:ascii="Arial" w:hAnsi="Arial" w:cs="Arial"/>
        </w:rPr>
        <w:t>intermarca virtuosa</w:t>
      </w:r>
      <w:r w:rsidR="00100B0B">
        <w:rPr>
          <w:rFonts w:ascii="Arial" w:hAnsi="Arial" w:cs="Arial"/>
        </w:rPr>
        <w:t>, além, é claro,</w:t>
      </w:r>
      <w:r w:rsidR="00AD40B6">
        <w:rPr>
          <w:rFonts w:ascii="Arial" w:hAnsi="Arial" w:cs="Arial"/>
        </w:rPr>
        <w:t xml:space="preserve"> </w:t>
      </w:r>
      <w:r w:rsidR="00100B0B">
        <w:rPr>
          <w:rFonts w:ascii="Arial" w:hAnsi="Arial" w:cs="Arial"/>
        </w:rPr>
        <w:t>d</w:t>
      </w:r>
      <w:r w:rsidR="002669F7">
        <w:rPr>
          <w:rFonts w:ascii="Arial" w:hAnsi="Arial" w:cs="Arial"/>
        </w:rPr>
        <w:t xml:space="preserve">a oferta de </w:t>
      </w:r>
      <w:r w:rsidR="00C76B19">
        <w:rPr>
          <w:rFonts w:ascii="Arial" w:hAnsi="Arial" w:cs="Arial"/>
        </w:rPr>
        <w:t>combustíveis de alta qualidade e a preços competitivos</w:t>
      </w:r>
      <w:r w:rsidR="00AD40B6">
        <w:rPr>
          <w:rFonts w:ascii="Arial" w:hAnsi="Arial" w:cs="Arial"/>
        </w:rPr>
        <w:t xml:space="preserve"> aos consumidores-clientes dos postos de sua bandeira</w:t>
      </w:r>
      <w:r w:rsidR="005667E2">
        <w:rPr>
          <w:rFonts w:ascii="Arial" w:hAnsi="Arial" w:cs="Arial"/>
        </w:rPr>
        <w:t>.</w:t>
      </w:r>
      <w:r w:rsidR="00AD40B6">
        <w:rPr>
          <w:rFonts w:ascii="Arial" w:hAnsi="Arial" w:cs="Arial"/>
        </w:rPr>
        <w:t xml:space="preserve"> Isto, contudo, não vem sendo verificado conforme destacaremos mais adiante.</w:t>
      </w:r>
    </w:p>
    <w:p w:rsidR="005667E2" w:rsidRDefault="005667E2" w:rsidP="002F0D71">
      <w:pPr>
        <w:ind w:firstLine="708"/>
        <w:jc w:val="both"/>
        <w:rPr>
          <w:rFonts w:ascii="Arial" w:hAnsi="Arial" w:cs="Arial"/>
        </w:rPr>
      </w:pPr>
    </w:p>
    <w:p w:rsidR="00734604" w:rsidRPr="00AD71EB" w:rsidRDefault="00C76B19" w:rsidP="00734604">
      <w:pPr>
        <w:ind w:firstLine="708"/>
        <w:jc w:val="both"/>
        <w:rPr>
          <w:rFonts w:ascii="Arial" w:hAnsi="Arial" w:cs="Arial"/>
        </w:rPr>
      </w:pPr>
      <w:r>
        <w:rPr>
          <w:rFonts w:ascii="Arial" w:hAnsi="Arial" w:cs="Arial"/>
        </w:rPr>
        <w:t xml:space="preserve">Retomando a análise da evolução infralegal da </w:t>
      </w:r>
      <w:r w:rsidR="005667E2">
        <w:rPr>
          <w:rFonts w:ascii="Arial" w:hAnsi="Arial" w:cs="Arial"/>
        </w:rPr>
        <w:t>regra do embandeiramento</w:t>
      </w:r>
      <w:r>
        <w:rPr>
          <w:rFonts w:ascii="Arial" w:hAnsi="Arial" w:cs="Arial"/>
        </w:rPr>
        <w:t xml:space="preserve">, </w:t>
      </w:r>
      <w:r w:rsidR="008C2731">
        <w:rPr>
          <w:rFonts w:ascii="Arial" w:hAnsi="Arial" w:cs="Arial"/>
        </w:rPr>
        <w:t>a edição d</w:t>
      </w:r>
      <w:r w:rsidR="00E7697A">
        <w:rPr>
          <w:rFonts w:ascii="Arial" w:hAnsi="Arial" w:cs="Arial"/>
        </w:rPr>
        <w:t xml:space="preserve">a </w:t>
      </w:r>
      <w:r w:rsidR="00E7697A" w:rsidRPr="00E7697A">
        <w:rPr>
          <w:rFonts w:ascii="Arial" w:hAnsi="Arial" w:cs="Arial"/>
        </w:rPr>
        <w:t>Resolução AN</w:t>
      </w:r>
      <w:r w:rsidR="008C2731">
        <w:rPr>
          <w:rFonts w:ascii="Arial" w:hAnsi="Arial" w:cs="Arial"/>
        </w:rPr>
        <w:t>P nº 07</w:t>
      </w:r>
      <w:r>
        <w:rPr>
          <w:rFonts w:ascii="Arial" w:hAnsi="Arial" w:cs="Arial"/>
        </w:rPr>
        <w:t>,</w:t>
      </w:r>
      <w:r w:rsidR="008C2731">
        <w:rPr>
          <w:rFonts w:ascii="Arial" w:hAnsi="Arial" w:cs="Arial"/>
        </w:rPr>
        <w:t xml:space="preserve"> </w:t>
      </w:r>
      <w:r w:rsidR="00857E9C">
        <w:rPr>
          <w:rFonts w:ascii="Arial" w:hAnsi="Arial" w:cs="Arial"/>
        </w:rPr>
        <w:t xml:space="preserve">em março de 2007, </w:t>
      </w:r>
      <w:r w:rsidR="008C2731">
        <w:rPr>
          <w:rFonts w:ascii="Arial" w:hAnsi="Arial" w:cs="Arial"/>
        </w:rPr>
        <w:t xml:space="preserve">acrescentou </w:t>
      </w:r>
      <w:r w:rsidR="00857E9C">
        <w:rPr>
          <w:rFonts w:ascii="Arial" w:hAnsi="Arial" w:cs="Arial"/>
        </w:rPr>
        <w:t>à</w:t>
      </w:r>
      <w:r w:rsidR="008C2731">
        <w:rPr>
          <w:rFonts w:ascii="Arial" w:hAnsi="Arial" w:cs="Arial"/>
        </w:rPr>
        <w:t xml:space="preserve"> Portaria nº 29/99</w:t>
      </w:r>
      <w:r w:rsidR="00AD71EB">
        <w:rPr>
          <w:rFonts w:ascii="Arial" w:hAnsi="Arial" w:cs="Arial"/>
        </w:rPr>
        <w:t xml:space="preserve"> </w:t>
      </w:r>
      <w:r w:rsidR="008C2731">
        <w:rPr>
          <w:rFonts w:ascii="Arial" w:hAnsi="Arial" w:cs="Arial"/>
        </w:rPr>
        <w:t>o artigo 16-A</w:t>
      </w:r>
      <w:r w:rsidR="00255F00">
        <w:rPr>
          <w:rFonts w:ascii="Arial" w:hAnsi="Arial" w:cs="Arial"/>
        </w:rPr>
        <w:t xml:space="preserve">. Esta norma além de ter reforçado, por meio deste dispositivo, </w:t>
      </w:r>
      <w:r w:rsidR="001E3D99">
        <w:rPr>
          <w:rFonts w:ascii="Arial" w:hAnsi="Arial" w:cs="Arial"/>
        </w:rPr>
        <w:t>a vedação d</w:t>
      </w:r>
      <w:r w:rsidR="00255F00">
        <w:rPr>
          <w:rFonts w:ascii="Arial" w:hAnsi="Arial" w:cs="Arial"/>
        </w:rPr>
        <w:t>a</w:t>
      </w:r>
      <w:r w:rsidR="001E3D99">
        <w:rPr>
          <w:rFonts w:ascii="Arial" w:hAnsi="Arial" w:cs="Arial"/>
        </w:rPr>
        <w:t xml:space="preserve"> comercialização </w:t>
      </w:r>
      <w:r w:rsidR="00255F00">
        <w:rPr>
          <w:rFonts w:ascii="Arial" w:hAnsi="Arial" w:cs="Arial"/>
        </w:rPr>
        <w:t>de combustíveis a postos bandeirados por outras distribuidoras</w:t>
      </w:r>
      <w:r w:rsidR="008C2731">
        <w:rPr>
          <w:rStyle w:val="Refdenotaderodap"/>
          <w:rFonts w:ascii="Arial" w:hAnsi="Arial" w:cs="Arial"/>
        </w:rPr>
        <w:footnoteReference w:id="8"/>
      </w:r>
      <w:r w:rsidR="00255F00">
        <w:rPr>
          <w:rFonts w:ascii="Arial" w:hAnsi="Arial" w:cs="Arial"/>
        </w:rPr>
        <w:t xml:space="preserve">, apresentou </w:t>
      </w:r>
      <w:r w:rsidR="00734604">
        <w:rPr>
          <w:rFonts w:ascii="Arial" w:hAnsi="Arial" w:cs="Arial"/>
        </w:rPr>
        <w:t>em seus “Considerandos” as seguintes razões para esta vedação:</w:t>
      </w:r>
    </w:p>
    <w:p w:rsidR="00734604" w:rsidRDefault="00734604" w:rsidP="00734604">
      <w:pPr>
        <w:jc w:val="both"/>
        <w:rPr>
          <w:rFonts w:ascii="Arial" w:hAnsi="Arial" w:cs="Arial"/>
        </w:rPr>
      </w:pPr>
    </w:p>
    <w:p w:rsidR="00734604" w:rsidRPr="00734604" w:rsidRDefault="00AD71EB" w:rsidP="00734604">
      <w:pPr>
        <w:pStyle w:val="PargrafodaLista"/>
        <w:numPr>
          <w:ilvl w:val="0"/>
          <w:numId w:val="3"/>
        </w:numPr>
        <w:jc w:val="both"/>
        <w:rPr>
          <w:rFonts w:ascii="Arial" w:hAnsi="Arial" w:cs="Arial"/>
        </w:rPr>
      </w:pPr>
      <w:r w:rsidRPr="00734604">
        <w:rPr>
          <w:rFonts w:ascii="Arial" w:hAnsi="Arial" w:cs="Arial"/>
        </w:rPr>
        <w:t xml:space="preserve">“a comercialização, sem procedimentos de controle, de combustíveis automotivos entre distribuidores vem implicando conturbações, anomalias e assimetrias para o ambiente concorrencial”; </w:t>
      </w:r>
    </w:p>
    <w:p w:rsidR="00734604" w:rsidRDefault="00AD71EB" w:rsidP="00734604">
      <w:pPr>
        <w:pStyle w:val="PargrafodaLista"/>
        <w:numPr>
          <w:ilvl w:val="0"/>
          <w:numId w:val="3"/>
        </w:numPr>
        <w:jc w:val="both"/>
        <w:rPr>
          <w:rFonts w:ascii="Arial" w:hAnsi="Arial" w:cs="Arial"/>
        </w:rPr>
      </w:pPr>
      <w:r w:rsidRPr="00734604">
        <w:rPr>
          <w:rFonts w:ascii="Arial" w:hAnsi="Arial" w:cs="Arial"/>
        </w:rPr>
        <w:t xml:space="preserve">“a necessidade de dotar o mercado de flexibilidade, de modo a contribuir para a normalidade do abastecimento quando da ocorrência de eventual problema na movimentação de combustíveis”; </w:t>
      </w:r>
    </w:p>
    <w:p w:rsidR="00734604" w:rsidRDefault="00AD71EB" w:rsidP="00734604">
      <w:pPr>
        <w:pStyle w:val="PargrafodaLista"/>
        <w:numPr>
          <w:ilvl w:val="0"/>
          <w:numId w:val="3"/>
        </w:numPr>
        <w:jc w:val="both"/>
        <w:rPr>
          <w:rFonts w:ascii="Arial" w:hAnsi="Arial" w:cs="Arial"/>
        </w:rPr>
      </w:pPr>
      <w:r w:rsidRPr="00734604">
        <w:rPr>
          <w:rFonts w:ascii="Arial" w:hAnsi="Arial" w:cs="Arial"/>
        </w:rPr>
        <w:t xml:space="preserve"> “o grande número de distribuidores que, injustificadamente, paralisa por extenso período de tempo a atividade para a qual foi autorizado, causando prejuízos ao interesse público”; e </w:t>
      </w:r>
    </w:p>
    <w:p w:rsidR="00AD71EB" w:rsidRPr="00734604" w:rsidRDefault="00AD71EB" w:rsidP="00734604">
      <w:pPr>
        <w:pStyle w:val="PargrafodaLista"/>
        <w:numPr>
          <w:ilvl w:val="0"/>
          <w:numId w:val="3"/>
        </w:numPr>
        <w:jc w:val="both"/>
        <w:rPr>
          <w:rFonts w:ascii="Arial" w:hAnsi="Arial" w:cs="Arial"/>
        </w:rPr>
      </w:pPr>
      <w:r w:rsidRPr="00734604">
        <w:rPr>
          <w:rFonts w:ascii="Arial" w:hAnsi="Arial" w:cs="Arial"/>
        </w:rPr>
        <w:t>“a necessidade de atualização e aperfeiçoamento do arcabouço normativo-regulatório atinente à atividade de distribuição de combustíveis automotivos”.</w:t>
      </w:r>
    </w:p>
    <w:p w:rsidR="00422108" w:rsidRDefault="00422108" w:rsidP="00AC584B">
      <w:pPr>
        <w:jc w:val="both"/>
        <w:rPr>
          <w:rFonts w:ascii="Arial" w:hAnsi="Arial" w:cs="Arial"/>
        </w:rPr>
      </w:pPr>
    </w:p>
    <w:p w:rsidR="001354B7" w:rsidRDefault="001354B7" w:rsidP="00734604">
      <w:pPr>
        <w:ind w:firstLine="708"/>
        <w:jc w:val="both"/>
        <w:rPr>
          <w:rFonts w:ascii="Arial" w:hAnsi="Arial" w:cs="Arial"/>
        </w:rPr>
      </w:pPr>
      <w:r>
        <w:rPr>
          <w:rFonts w:ascii="Arial" w:hAnsi="Arial" w:cs="Arial"/>
        </w:rPr>
        <w:t xml:space="preserve">Por essas explicações, percebe-se nitidamente que </w:t>
      </w:r>
      <w:r w:rsidR="008D3640">
        <w:rPr>
          <w:rFonts w:ascii="Arial" w:hAnsi="Arial" w:cs="Arial"/>
        </w:rPr>
        <w:t xml:space="preserve">ao definir e editar esta norma, em nenhum momento a ANP se preocupou realmente </w:t>
      </w:r>
      <w:r w:rsidR="00995E52">
        <w:rPr>
          <w:rFonts w:ascii="Arial" w:hAnsi="Arial" w:cs="Arial"/>
        </w:rPr>
        <w:t xml:space="preserve">em garantir e preservar um ambiente de </w:t>
      </w:r>
      <w:r w:rsidR="00100B0B">
        <w:rPr>
          <w:rFonts w:ascii="Arial" w:hAnsi="Arial" w:cs="Arial"/>
        </w:rPr>
        <w:t xml:space="preserve">livre </w:t>
      </w:r>
      <w:r w:rsidR="00995E52">
        <w:rPr>
          <w:rFonts w:ascii="Arial" w:hAnsi="Arial" w:cs="Arial"/>
        </w:rPr>
        <w:t xml:space="preserve">iniciativa e ampla competição, conforme assim é determinado pela Lei do Petróleo. Afinal, o que significa o termo “anomalias e assimetrias para o ambiente concorrencial”? Seria garantir uma maior concentração de mercado? </w:t>
      </w:r>
      <w:r w:rsidR="001A209F">
        <w:rPr>
          <w:rFonts w:ascii="Arial" w:hAnsi="Arial" w:cs="Arial"/>
        </w:rPr>
        <w:t>O que significa “a necessidade de dotar o mercado de flexibilidade”? Será que o embandeiramento associado a contratos de exclusividade de longuíssimo</w:t>
      </w:r>
      <w:r w:rsidR="00100B0B">
        <w:rPr>
          <w:rFonts w:ascii="Arial" w:hAnsi="Arial" w:cs="Arial"/>
        </w:rPr>
        <w:t>s</w:t>
      </w:r>
      <w:r w:rsidR="001A209F">
        <w:rPr>
          <w:rFonts w:ascii="Arial" w:hAnsi="Arial" w:cs="Arial"/>
        </w:rPr>
        <w:t xml:space="preserve"> prazo</w:t>
      </w:r>
      <w:r w:rsidR="00100B0B">
        <w:rPr>
          <w:rFonts w:ascii="Arial" w:hAnsi="Arial" w:cs="Arial"/>
        </w:rPr>
        <w:t>s</w:t>
      </w:r>
      <w:r w:rsidR="001A209F">
        <w:rPr>
          <w:rFonts w:ascii="Arial" w:hAnsi="Arial" w:cs="Arial"/>
        </w:rPr>
        <w:t xml:space="preserve"> realmente </w:t>
      </w:r>
      <w:r w:rsidR="00B33D4E">
        <w:rPr>
          <w:rFonts w:ascii="Arial" w:hAnsi="Arial" w:cs="Arial"/>
        </w:rPr>
        <w:t>geram tal “flexibilidade”?</w:t>
      </w:r>
      <w:r w:rsidR="00F664F0">
        <w:rPr>
          <w:rFonts w:ascii="Arial" w:hAnsi="Arial" w:cs="Arial"/>
        </w:rPr>
        <w:t xml:space="preserve"> Por quê o embandeiramento seria o “aperfeiçoamento do arcabouço</w:t>
      </w:r>
      <w:r w:rsidR="00FC2F8D">
        <w:rPr>
          <w:rFonts w:ascii="Arial" w:hAnsi="Arial" w:cs="Arial"/>
        </w:rPr>
        <w:t xml:space="preserve"> normativo-</w:t>
      </w:r>
      <w:r w:rsidR="00FC2F8D">
        <w:rPr>
          <w:rFonts w:ascii="Arial" w:hAnsi="Arial" w:cs="Arial"/>
        </w:rPr>
        <w:lastRenderedPageBreak/>
        <w:t>regulatório atinente à atividade de distribuição de combustíveis automotivos”</w:t>
      </w:r>
      <w:r w:rsidR="00100B0B">
        <w:rPr>
          <w:rFonts w:ascii="Arial" w:hAnsi="Arial" w:cs="Arial"/>
        </w:rPr>
        <w:t>,</w:t>
      </w:r>
      <w:r w:rsidR="00FC2F8D">
        <w:rPr>
          <w:rFonts w:ascii="Arial" w:hAnsi="Arial" w:cs="Arial"/>
        </w:rPr>
        <w:t xml:space="preserve"> e não o contrário</w:t>
      </w:r>
      <w:r w:rsidR="00100B0B">
        <w:rPr>
          <w:rFonts w:ascii="Arial" w:hAnsi="Arial" w:cs="Arial"/>
        </w:rPr>
        <w:t>?</w:t>
      </w:r>
    </w:p>
    <w:p w:rsidR="00B33D4E" w:rsidRDefault="00B33D4E" w:rsidP="00734604">
      <w:pPr>
        <w:ind w:firstLine="708"/>
        <w:jc w:val="both"/>
        <w:rPr>
          <w:rFonts w:ascii="Arial" w:hAnsi="Arial" w:cs="Arial"/>
        </w:rPr>
      </w:pPr>
    </w:p>
    <w:p w:rsidR="00100B0B" w:rsidRDefault="00100B0B" w:rsidP="00734604">
      <w:pPr>
        <w:ind w:firstLine="708"/>
        <w:jc w:val="both"/>
        <w:rPr>
          <w:rFonts w:ascii="Arial" w:hAnsi="Arial" w:cs="Arial"/>
        </w:rPr>
      </w:pPr>
      <w:r>
        <w:rPr>
          <w:rFonts w:ascii="Arial" w:hAnsi="Arial" w:cs="Arial"/>
        </w:rPr>
        <w:t>Essas questões não parecem ter sido bem direcionadas e tampouco respondidas pela ANP ao editar tal norma.</w:t>
      </w:r>
    </w:p>
    <w:p w:rsidR="00100B0B" w:rsidRDefault="00100B0B" w:rsidP="00734604">
      <w:pPr>
        <w:ind w:firstLine="708"/>
        <w:jc w:val="both"/>
        <w:rPr>
          <w:rFonts w:ascii="Arial" w:hAnsi="Arial" w:cs="Arial"/>
        </w:rPr>
      </w:pPr>
    </w:p>
    <w:p w:rsidR="00EA6562" w:rsidRDefault="00B33D4E" w:rsidP="00734604">
      <w:pPr>
        <w:ind w:firstLine="708"/>
        <w:jc w:val="both"/>
        <w:rPr>
          <w:rFonts w:ascii="Arial" w:hAnsi="Arial" w:cs="Arial"/>
        </w:rPr>
      </w:pPr>
      <w:r>
        <w:rPr>
          <w:rFonts w:ascii="Arial" w:hAnsi="Arial" w:cs="Arial"/>
        </w:rPr>
        <w:t xml:space="preserve">Em um mercado liberal, onde a livre e ampla concorrência impera, o que se espera é um número grande de </w:t>
      </w:r>
      <w:r w:rsidR="00CE50AB">
        <w:rPr>
          <w:rFonts w:ascii="Arial" w:hAnsi="Arial" w:cs="Arial"/>
        </w:rPr>
        <w:t xml:space="preserve">agentes ofertando o produto ou serviço demandado e uma </w:t>
      </w:r>
      <w:r w:rsidR="00FC2F8D">
        <w:rPr>
          <w:rFonts w:ascii="Arial" w:hAnsi="Arial" w:cs="Arial"/>
        </w:rPr>
        <w:t>“</w:t>
      </w:r>
      <w:r w:rsidR="00CE50AB">
        <w:rPr>
          <w:rFonts w:ascii="Arial" w:hAnsi="Arial" w:cs="Arial"/>
        </w:rPr>
        <w:t>seleção natural</w:t>
      </w:r>
      <w:r w:rsidR="00FC2F8D">
        <w:rPr>
          <w:rFonts w:ascii="Arial" w:hAnsi="Arial" w:cs="Arial"/>
        </w:rPr>
        <w:t>”,</w:t>
      </w:r>
      <w:r w:rsidR="00CE50AB">
        <w:rPr>
          <w:rFonts w:ascii="Arial" w:hAnsi="Arial" w:cs="Arial"/>
        </w:rPr>
        <w:t xml:space="preserve"> </w:t>
      </w:r>
      <w:r w:rsidR="00FC2F8D">
        <w:rPr>
          <w:rFonts w:ascii="Arial" w:hAnsi="Arial" w:cs="Arial"/>
        </w:rPr>
        <w:t xml:space="preserve">a partir da </w:t>
      </w:r>
      <w:r w:rsidR="00CE50AB">
        <w:rPr>
          <w:rFonts w:ascii="Arial" w:hAnsi="Arial" w:cs="Arial"/>
        </w:rPr>
        <w:t>maior eficiência dos agentes</w:t>
      </w:r>
      <w:r w:rsidR="00514603">
        <w:rPr>
          <w:rFonts w:ascii="Arial" w:hAnsi="Arial" w:cs="Arial"/>
        </w:rPr>
        <w:t xml:space="preserve"> e capitaneada</w:t>
      </w:r>
      <w:r w:rsidR="00CE50AB">
        <w:rPr>
          <w:rFonts w:ascii="Arial" w:hAnsi="Arial" w:cs="Arial"/>
        </w:rPr>
        <w:t xml:space="preserve"> </w:t>
      </w:r>
      <w:r w:rsidR="00514603">
        <w:rPr>
          <w:rFonts w:ascii="Arial" w:hAnsi="Arial" w:cs="Arial"/>
        </w:rPr>
        <w:t>pel</w:t>
      </w:r>
      <w:r w:rsidR="00FC2F8D">
        <w:rPr>
          <w:rFonts w:ascii="Arial" w:hAnsi="Arial" w:cs="Arial"/>
        </w:rPr>
        <w:t>os consumidores</w:t>
      </w:r>
      <w:r w:rsidR="00514603">
        <w:rPr>
          <w:rFonts w:ascii="Arial" w:hAnsi="Arial" w:cs="Arial"/>
        </w:rPr>
        <w:t>, sobre quais revendedores / distribuidoras</w:t>
      </w:r>
      <w:r w:rsidR="00FC2F8D">
        <w:rPr>
          <w:rFonts w:ascii="Arial" w:hAnsi="Arial" w:cs="Arial"/>
        </w:rPr>
        <w:t xml:space="preserve"> atend</w:t>
      </w:r>
      <w:r w:rsidR="00514603">
        <w:rPr>
          <w:rFonts w:ascii="Arial" w:hAnsi="Arial" w:cs="Arial"/>
        </w:rPr>
        <w:t>e</w:t>
      </w:r>
      <w:r w:rsidR="00FC2F8D">
        <w:rPr>
          <w:rFonts w:ascii="Arial" w:hAnsi="Arial" w:cs="Arial"/>
        </w:rPr>
        <w:t xml:space="preserve">m </w:t>
      </w:r>
      <w:r w:rsidR="00514603">
        <w:rPr>
          <w:rFonts w:ascii="Arial" w:hAnsi="Arial" w:cs="Arial"/>
        </w:rPr>
        <w:t xml:space="preserve">melhor </w:t>
      </w:r>
      <w:r w:rsidR="00FC2F8D">
        <w:rPr>
          <w:rFonts w:ascii="Arial" w:hAnsi="Arial" w:cs="Arial"/>
        </w:rPr>
        <w:t>seus anseios</w:t>
      </w:r>
      <w:r w:rsidR="00514603">
        <w:rPr>
          <w:rFonts w:ascii="Arial" w:hAnsi="Arial" w:cs="Arial"/>
        </w:rPr>
        <w:t xml:space="preserve"> e necessidades. O preço e a qualidade / credibilidade dos serviços e combustíveis ofertados seriam </w:t>
      </w:r>
      <w:r w:rsidR="00784111">
        <w:rPr>
          <w:rFonts w:ascii="Arial" w:hAnsi="Arial" w:cs="Arial"/>
        </w:rPr>
        <w:t>o</w:t>
      </w:r>
      <w:r w:rsidR="00514603">
        <w:rPr>
          <w:rFonts w:ascii="Arial" w:hAnsi="Arial" w:cs="Arial"/>
        </w:rPr>
        <w:t xml:space="preserve">s principais </w:t>
      </w:r>
      <w:r w:rsidR="00784111">
        <w:rPr>
          <w:rFonts w:ascii="Arial" w:hAnsi="Arial" w:cs="Arial"/>
        </w:rPr>
        <w:t>objetivos dos revendedores e distribuidores neste processo de “seleção natural”</w:t>
      </w:r>
      <w:r w:rsidR="00CE50AB">
        <w:rPr>
          <w:rFonts w:ascii="Arial" w:hAnsi="Arial" w:cs="Arial"/>
        </w:rPr>
        <w:t>.</w:t>
      </w:r>
      <w:r w:rsidR="00FC2F8D">
        <w:rPr>
          <w:rFonts w:ascii="Arial" w:hAnsi="Arial" w:cs="Arial"/>
        </w:rPr>
        <w:t xml:space="preserve"> A regulação serviria apenas para </w:t>
      </w:r>
      <w:r w:rsidR="00C67B0C">
        <w:rPr>
          <w:rFonts w:ascii="Arial" w:hAnsi="Arial" w:cs="Arial"/>
        </w:rPr>
        <w:t>garantir que assimetrias informacionais e abusos de posição dominante não impactassem ou influenciasse</w:t>
      </w:r>
      <w:r w:rsidR="00AF4FD9">
        <w:rPr>
          <w:rFonts w:ascii="Arial" w:hAnsi="Arial" w:cs="Arial"/>
        </w:rPr>
        <w:t>m</w:t>
      </w:r>
      <w:r w:rsidR="00C67B0C">
        <w:rPr>
          <w:rFonts w:ascii="Arial" w:hAnsi="Arial" w:cs="Arial"/>
        </w:rPr>
        <w:t xml:space="preserve"> negativamente nesse processo de escolha do consumidor-demandante e, não, para definir quais agentes devem ser beneficiados ou prejudicados </w:t>
      </w:r>
      <w:r w:rsidR="00EA6562">
        <w:rPr>
          <w:rFonts w:ascii="Arial" w:hAnsi="Arial" w:cs="Arial"/>
        </w:rPr>
        <w:t>nessa disputa pelo mercado consumidor.</w:t>
      </w:r>
    </w:p>
    <w:p w:rsidR="00EA6562" w:rsidRDefault="00EA6562" w:rsidP="00734604">
      <w:pPr>
        <w:ind w:firstLine="708"/>
        <w:jc w:val="both"/>
        <w:rPr>
          <w:rFonts w:ascii="Arial" w:hAnsi="Arial" w:cs="Arial"/>
        </w:rPr>
      </w:pPr>
    </w:p>
    <w:p w:rsidR="00B33D4E" w:rsidRDefault="00CE50AB" w:rsidP="00734604">
      <w:pPr>
        <w:ind w:firstLine="708"/>
        <w:jc w:val="both"/>
        <w:rPr>
          <w:rFonts w:ascii="Arial" w:hAnsi="Arial" w:cs="Arial"/>
        </w:rPr>
      </w:pPr>
      <w:r>
        <w:rPr>
          <w:rFonts w:ascii="Arial" w:hAnsi="Arial" w:cs="Arial"/>
        </w:rPr>
        <w:t>Nessa linha, se há distribuidoras que paralisam suas atividades por extenso período</w:t>
      </w:r>
      <w:r w:rsidR="004F4ADB">
        <w:rPr>
          <w:rFonts w:ascii="Arial" w:hAnsi="Arial" w:cs="Arial"/>
        </w:rPr>
        <w:t xml:space="preserve">, a revenda deixará de adquirir combustível dessas distribuidoras e estas acabarão deixando o mercado. Além disso, se a Lei do Petróleo confere à ANP competência para regular as atividades das distribuidoras e estas não estão realizando adequadamente </w:t>
      </w:r>
      <w:r w:rsidR="00784111">
        <w:rPr>
          <w:rFonts w:ascii="Arial" w:hAnsi="Arial" w:cs="Arial"/>
        </w:rPr>
        <w:t>ess</w:t>
      </w:r>
      <w:r w:rsidR="004F4ADB">
        <w:rPr>
          <w:rFonts w:ascii="Arial" w:hAnsi="Arial" w:cs="Arial"/>
        </w:rPr>
        <w:t xml:space="preserve">as atividades às quais foram autorizadas pela ANP, caberia a esta agência </w:t>
      </w:r>
      <w:r w:rsidR="00A83E05">
        <w:rPr>
          <w:rFonts w:ascii="Arial" w:hAnsi="Arial" w:cs="Arial"/>
        </w:rPr>
        <w:t>cassar suas autorizações e não criar regras que limitem a livre iniciativa e a livre concorrência d</w:t>
      </w:r>
      <w:r w:rsidR="00F664F0">
        <w:rPr>
          <w:rFonts w:ascii="Arial" w:hAnsi="Arial" w:cs="Arial"/>
        </w:rPr>
        <w:t>e produtores, distribuidoras e revendedores.</w:t>
      </w:r>
      <w:r w:rsidR="00D4194F">
        <w:rPr>
          <w:rFonts w:ascii="Arial" w:hAnsi="Arial" w:cs="Arial"/>
        </w:rPr>
        <w:t xml:space="preserve"> </w:t>
      </w:r>
    </w:p>
    <w:p w:rsidR="003210EF" w:rsidRDefault="003210EF" w:rsidP="00734604">
      <w:pPr>
        <w:ind w:firstLine="708"/>
        <w:jc w:val="both"/>
        <w:rPr>
          <w:rFonts w:ascii="Arial" w:hAnsi="Arial" w:cs="Arial"/>
        </w:rPr>
      </w:pPr>
    </w:p>
    <w:p w:rsidR="00995E52" w:rsidRPr="00CE0267" w:rsidRDefault="003210EF" w:rsidP="005148F5">
      <w:pPr>
        <w:ind w:firstLine="708"/>
        <w:jc w:val="both"/>
        <w:rPr>
          <w:rFonts w:ascii="Arial" w:hAnsi="Arial" w:cs="Arial"/>
        </w:rPr>
      </w:pPr>
      <w:r w:rsidRPr="003210EF">
        <w:rPr>
          <w:rFonts w:ascii="Arial" w:hAnsi="Arial" w:cs="Arial"/>
          <w:lang w:val="en-US"/>
        </w:rPr>
        <w:t>Conforme destacam VISCUSI, HARRINGTON</w:t>
      </w:r>
      <w:r w:rsidR="001D3935">
        <w:rPr>
          <w:rFonts w:ascii="Arial" w:hAnsi="Arial" w:cs="Arial"/>
          <w:lang w:val="en-US"/>
        </w:rPr>
        <w:t xml:space="preserve"> JR.</w:t>
      </w:r>
      <w:r w:rsidRPr="003210EF">
        <w:rPr>
          <w:rFonts w:ascii="Arial" w:hAnsi="Arial" w:cs="Arial"/>
          <w:lang w:val="en-US"/>
        </w:rPr>
        <w:t xml:space="preserve"> e VERNON, “</w:t>
      </w:r>
      <w:r w:rsidRPr="003210EF">
        <w:rPr>
          <w:rFonts w:ascii="Arial" w:hAnsi="Arial" w:cs="Arial"/>
          <w:i/>
          <w:lang w:val="en-US"/>
        </w:rPr>
        <w:t>at a very minimum, it seem</w:t>
      </w:r>
      <w:r>
        <w:rPr>
          <w:rFonts w:ascii="Arial" w:hAnsi="Arial" w:cs="Arial"/>
          <w:i/>
          <w:lang w:val="en-US"/>
        </w:rPr>
        <w:t xml:space="preserve">s </w:t>
      </w:r>
      <w:r w:rsidR="00265E98">
        <w:rPr>
          <w:rFonts w:ascii="Arial" w:hAnsi="Arial" w:cs="Arial"/>
          <w:i/>
          <w:lang w:val="en-US"/>
        </w:rPr>
        <w:t>that society should not pursue policies that do not advance our interests. If the benefits of a policy are not in excess o</w:t>
      </w:r>
      <w:r w:rsidR="009573E7">
        <w:rPr>
          <w:rFonts w:ascii="Arial" w:hAnsi="Arial" w:cs="Arial"/>
          <w:i/>
          <w:lang w:val="en-US"/>
        </w:rPr>
        <w:t>f the costs, then clearly it should not be pursued, because such efforts do more harm than good</w:t>
      </w:r>
      <w:r w:rsidR="009573E7">
        <w:rPr>
          <w:rFonts w:ascii="Arial" w:hAnsi="Arial" w:cs="Arial"/>
          <w:lang w:val="en-US"/>
        </w:rPr>
        <w:t>”</w:t>
      </w:r>
      <w:r w:rsidR="009573E7">
        <w:rPr>
          <w:rStyle w:val="Refdenotaderodap"/>
          <w:rFonts w:ascii="Arial" w:hAnsi="Arial" w:cs="Arial"/>
          <w:lang w:val="en-US"/>
        </w:rPr>
        <w:footnoteReference w:id="9"/>
      </w:r>
      <w:r w:rsidR="009573E7">
        <w:rPr>
          <w:rFonts w:ascii="Arial" w:hAnsi="Arial" w:cs="Arial"/>
          <w:lang w:val="en-US"/>
        </w:rPr>
        <w:t>.</w:t>
      </w:r>
      <w:r w:rsidR="00CE0267">
        <w:rPr>
          <w:rFonts w:ascii="Arial" w:hAnsi="Arial" w:cs="Arial"/>
          <w:lang w:val="en-US"/>
        </w:rPr>
        <w:t xml:space="preserve"> </w:t>
      </w:r>
      <w:r w:rsidR="00CE0267" w:rsidRPr="00CE0267">
        <w:rPr>
          <w:rFonts w:ascii="Arial" w:hAnsi="Arial" w:cs="Arial"/>
        </w:rPr>
        <w:t xml:space="preserve">Ou seja, as justificativas e fundamentos trazidos pela ANP para </w:t>
      </w:r>
      <w:r w:rsidR="00CE0267">
        <w:rPr>
          <w:rFonts w:ascii="Arial" w:hAnsi="Arial" w:cs="Arial"/>
        </w:rPr>
        <w:t xml:space="preserve">a introdução </w:t>
      </w:r>
      <w:r w:rsidR="005148F5">
        <w:rPr>
          <w:rFonts w:ascii="Arial" w:hAnsi="Arial" w:cs="Arial"/>
        </w:rPr>
        <w:t xml:space="preserve">desta nova regra regulatória, aparentemente, </w:t>
      </w:r>
      <w:r w:rsidR="00655E1B">
        <w:rPr>
          <w:rFonts w:ascii="Arial" w:hAnsi="Arial" w:cs="Arial"/>
        </w:rPr>
        <w:t xml:space="preserve">não levaram em consideração </w:t>
      </w:r>
      <w:r w:rsidR="005148F5">
        <w:rPr>
          <w:rFonts w:ascii="Arial" w:hAnsi="Arial" w:cs="Arial"/>
        </w:rPr>
        <w:t>os custos e benefícios decorrentes das vedações ali trazidas</w:t>
      </w:r>
      <w:r w:rsidR="00655E1B">
        <w:rPr>
          <w:rFonts w:ascii="Arial" w:hAnsi="Arial" w:cs="Arial"/>
        </w:rPr>
        <w:t>;</w:t>
      </w:r>
      <w:r w:rsidR="005148F5">
        <w:rPr>
          <w:rFonts w:ascii="Arial" w:hAnsi="Arial" w:cs="Arial"/>
        </w:rPr>
        <w:t xml:space="preserve"> além de seus termos e objetivos não serem claros e transparentes</w:t>
      </w:r>
      <w:r w:rsidR="00655E1B">
        <w:rPr>
          <w:rFonts w:ascii="Arial" w:hAnsi="Arial" w:cs="Arial"/>
        </w:rPr>
        <w:t>. É ainda factível dizer, conforme inclusive destacado a seguir, que haveria</w:t>
      </w:r>
      <w:r w:rsidR="00F56786">
        <w:rPr>
          <w:rFonts w:ascii="Arial" w:hAnsi="Arial" w:cs="Arial"/>
        </w:rPr>
        <w:t xml:space="preserve"> </w:t>
      </w:r>
      <w:r w:rsidR="005148F5">
        <w:rPr>
          <w:rFonts w:ascii="Arial" w:hAnsi="Arial" w:cs="Arial"/>
        </w:rPr>
        <w:t xml:space="preserve">outras medidas menos custosas à livre iniciativa e à livre concorrência que poderiam </w:t>
      </w:r>
      <w:r w:rsidR="00655E1B">
        <w:rPr>
          <w:rFonts w:ascii="Arial" w:hAnsi="Arial" w:cs="Arial"/>
        </w:rPr>
        <w:t xml:space="preserve">ter </w:t>
      </w:r>
      <w:r w:rsidR="005148F5">
        <w:rPr>
          <w:rFonts w:ascii="Arial" w:hAnsi="Arial" w:cs="Arial"/>
        </w:rPr>
        <w:t>s</w:t>
      </w:r>
      <w:r w:rsidR="00655E1B">
        <w:rPr>
          <w:rFonts w:ascii="Arial" w:hAnsi="Arial" w:cs="Arial"/>
        </w:rPr>
        <w:t>ido</w:t>
      </w:r>
      <w:r w:rsidR="005148F5">
        <w:rPr>
          <w:rFonts w:ascii="Arial" w:hAnsi="Arial" w:cs="Arial"/>
        </w:rPr>
        <w:t xml:space="preserve"> </w:t>
      </w:r>
      <w:r w:rsidR="00655E1B">
        <w:rPr>
          <w:rFonts w:ascii="Arial" w:hAnsi="Arial" w:cs="Arial"/>
        </w:rPr>
        <w:t xml:space="preserve">sugeridas e </w:t>
      </w:r>
      <w:r w:rsidR="005148F5">
        <w:rPr>
          <w:rFonts w:ascii="Arial" w:hAnsi="Arial" w:cs="Arial"/>
        </w:rPr>
        <w:t>implementadas para solucionar os problemas de abastecimento ali destacados</w:t>
      </w:r>
      <w:r w:rsidR="00655E1B">
        <w:rPr>
          <w:rFonts w:ascii="Arial" w:hAnsi="Arial" w:cs="Arial"/>
        </w:rPr>
        <w:t xml:space="preserve">, como, por exemplo, elevar a fiscalização da agência </w:t>
      </w:r>
      <w:r w:rsidR="007A321A">
        <w:rPr>
          <w:rFonts w:ascii="Arial" w:hAnsi="Arial" w:cs="Arial"/>
        </w:rPr>
        <w:t>e elevar o número de lacrações e cassação de autorizações de postos e distribuidoras que adulteram combustíveis</w:t>
      </w:r>
      <w:r w:rsidR="005148F5">
        <w:rPr>
          <w:rFonts w:ascii="Arial" w:hAnsi="Arial" w:cs="Arial"/>
        </w:rPr>
        <w:t>.</w:t>
      </w:r>
    </w:p>
    <w:p w:rsidR="001354B7" w:rsidRPr="00CE0267" w:rsidRDefault="001354B7" w:rsidP="00734604">
      <w:pPr>
        <w:ind w:firstLine="708"/>
        <w:jc w:val="both"/>
        <w:rPr>
          <w:rFonts w:ascii="Arial" w:hAnsi="Arial" w:cs="Arial"/>
        </w:rPr>
      </w:pPr>
    </w:p>
    <w:p w:rsidR="00AD71EB" w:rsidRDefault="00734604" w:rsidP="00734604">
      <w:pPr>
        <w:ind w:firstLine="708"/>
        <w:jc w:val="both"/>
        <w:rPr>
          <w:rFonts w:ascii="Arial" w:hAnsi="Arial" w:cs="Arial"/>
        </w:rPr>
      </w:pPr>
      <w:r>
        <w:rPr>
          <w:rFonts w:ascii="Arial" w:hAnsi="Arial" w:cs="Arial"/>
        </w:rPr>
        <w:t>P</w:t>
      </w:r>
      <w:r w:rsidR="00AD71EB">
        <w:rPr>
          <w:rFonts w:ascii="Arial" w:hAnsi="Arial" w:cs="Arial"/>
        </w:rPr>
        <w:t xml:space="preserve">ode-se dizer </w:t>
      </w:r>
      <w:r>
        <w:rPr>
          <w:rFonts w:ascii="Arial" w:hAnsi="Arial" w:cs="Arial"/>
        </w:rPr>
        <w:t xml:space="preserve">ainda, em linhas gerais, </w:t>
      </w:r>
      <w:r w:rsidR="00AD71EB">
        <w:rPr>
          <w:rFonts w:ascii="Arial" w:hAnsi="Arial" w:cs="Arial"/>
        </w:rPr>
        <w:t xml:space="preserve">que esta alteração </w:t>
      </w:r>
      <w:r w:rsidR="00B73F94">
        <w:rPr>
          <w:rFonts w:ascii="Arial" w:hAnsi="Arial" w:cs="Arial"/>
        </w:rPr>
        <w:t>reforç</w:t>
      </w:r>
      <w:r>
        <w:rPr>
          <w:rFonts w:ascii="Arial" w:hAnsi="Arial" w:cs="Arial"/>
        </w:rPr>
        <w:t>ou</w:t>
      </w:r>
      <w:r w:rsidR="00B73F94">
        <w:rPr>
          <w:rFonts w:ascii="Arial" w:hAnsi="Arial" w:cs="Arial"/>
        </w:rPr>
        <w:t xml:space="preserve"> a regra do embandeiramento, </w:t>
      </w:r>
      <w:r>
        <w:rPr>
          <w:rFonts w:ascii="Arial" w:hAnsi="Arial" w:cs="Arial"/>
        </w:rPr>
        <w:t xml:space="preserve">na medida em que </w:t>
      </w:r>
      <w:r w:rsidR="00B73F94">
        <w:rPr>
          <w:rFonts w:ascii="Arial" w:hAnsi="Arial" w:cs="Arial"/>
        </w:rPr>
        <w:t>cri</w:t>
      </w:r>
      <w:r>
        <w:rPr>
          <w:rFonts w:ascii="Arial" w:hAnsi="Arial" w:cs="Arial"/>
        </w:rPr>
        <w:t>ou</w:t>
      </w:r>
      <w:r w:rsidR="00B73F94">
        <w:rPr>
          <w:rFonts w:ascii="Arial" w:hAnsi="Arial" w:cs="Arial"/>
        </w:rPr>
        <w:t xml:space="preserve"> expressamente obrigações e penalidades às distribuidoras </w:t>
      </w:r>
      <w:r w:rsidR="00274128">
        <w:rPr>
          <w:rFonts w:ascii="Arial" w:hAnsi="Arial" w:cs="Arial"/>
        </w:rPr>
        <w:t xml:space="preserve">não bandeiradas e bandeiradas </w:t>
      </w:r>
      <w:r w:rsidR="00B73F94">
        <w:rPr>
          <w:rFonts w:ascii="Arial" w:hAnsi="Arial" w:cs="Arial"/>
        </w:rPr>
        <w:t>que co</w:t>
      </w:r>
      <w:r w:rsidR="00274128">
        <w:rPr>
          <w:rFonts w:ascii="Arial" w:hAnsi="Arial" w:cs="Arial"/>
        </w:rPr>
        <w:t>mercializassem combustíveis a revendedores de outra bandeira.</w:t>
      </w:r>
      <w:r w:rsidR="005D12CD">
        <w:rPr>
          <w:rFonts w:ascii="Arial" w:hAnsi="Arial" w:cs="Arial"/>
        </w:rPr>
        <w:t xml:space="preserve"> Na Portaria </w:t>
      </w:r>
      <w:r w:rsidR="005D12CD" w:rsidRPr="006E62FA">
        <w:rPr>
          <w:rFonts w:ascii="Arial" w:hAnsi="Arial" w:cs="Arial"/>
        </w:rPr>
        <w:t>ANP nº 116/00</w:t>
      </w:r>
      <w:r w:rsidR="005D12CD">
        <w:rPr>
          <w:rFonts w:ascii="Arial" w:hAnsi="Arial" w:cs="Arial"/>
        </w:rPr>
        <w:t xml:space="preserve">, não havia previsão de penalidades às distribuidoras que </w:t>
      </w:r>
      <w:r w:rsidR="005D12CD">
        <w:rPr>
          <w:rFonts w:ascii="Arial" w:hAnsi="Arial" w:cs="Arial"/>
        </w:rPr>
        <w:lastRenderedPageBreak/>
        <w:t>descumprissem a regra do embandeiramento, se restringindo a penalidade apenas ao revendedor.</w:t>
      </w:r>
    </w:p>
    <w:p w:rsidR="00967F10" w:rsidRDefault="00967F10" w:rsidP="00AC584B">
      <w:pPr>
        <w:jc w:val="both"/>
        <w:rPr>
          <w:rFonts w:ascii="Arial" w:hAnsi="Arial" w:cs="Arial"/>
        </w:rPr>
      </w:pPr>
    </w:p>
    <w:p w:rsidR="00E93AC7" w:rsidRDefault="00967F10" w:rsidP="00AC584B">
      <w:pPr>
        <w:jc w:val="both"/>
        <w:rPr>
          <w:rFonts w:ascii="Arial" w:hAnsi="Arial" w:cs="Arial"/>
        </w:rPr>
      </w:pPr>
      <w:r>
        <w:rPr>
          <w:rFonts w:ascii="Arial" w:hAnsi="Arial" w:cs="Arial"/>
        </w:rPr>
        <w:tab/>
      </w:r>
      <w:r w:rsidR="00E93AC7">
        <w:rPr>
          <w:rFonts w:ascii="Arial" w:hAnsi="Arial" w:cs="Arial"/>
        </w:rPr>
        <w:t xml:space="preserve">É ainda interessante </w:t>
      </w:r>
      <w:r w:rsidR="00E93AC7" w:rsidRPr="00E93AC7">
        <w:rPr>
          <w:rFonts w:ascii="Arial" w:hAnsi="Arial" w:cs="Arial"/>
        </w:rPr>
        <w:t xml:space="preserve">destacar </w:t>
      </w:r>
      <w:r w:rsidR="00E93AC7">
        <w:rPr>
          <w:rFonts w:ascii="Arial" w:hAnsi="Arial" w:cs="Arial"/>
        </w:rPr>
        <w:t>que, antes da edição d</w:t>
      </w:r>
      <w:r w:rsidR="00E93AC7" w:rsidRPr="00E93AC7">
        <w:rPr>
          <w:rFonts w:ascii="Arial" w:hAnsi="Arial" w:cs="Arial"/>
        </w:rPr>
        <w:t xml:space="preserve">a Resolução ANP nº 07/07, foi realizada, </w:t>
      </w:r>
      <w:r w:rsidR="00E93AC7">
        <w:rPr>
          <w:rFonts w:ascii="Arial" w:hAnsi="Arial" w:cs="Arial"/>
        </w:rPr>
        <w:t>em 27.11.06, Audiência Pública</w:t>
      </w:r>
      <w:r w:rsidR="00E93AC7">
        <w:rPr>
          <w:rStyle w:val="Refdenotaderodap"/>
          <w:rFonts w:ascii="Times New Roman" w:hAnsi="Times New Roman" w:cs="Times New Roman"/>
        </w:rPr>
        <w:footnoteReference w:id="10"/>
      </w:r>
      <w:r w:rsidR="00E93AC7">
        <w:rPr>
          <w:rFonts w:ascii="Arial" w:hAnsi="Arial" w:cs="Arial"/>
        </w:rPr>
        <w:t xml:space="preserve"> </w:t>
      </w:r>
      <w:r w:rsidR="00E93AC7" w:rsidRPr="00E93AC7">
        <w:rPr>
          <w:rFonts w:ascii="Arial" w:hAnsi="Arial" w:cs="Arial"/>
        </w:rPr>
        <w:t>com o objetivo de angariar comentários e sugestões</w:t>
      </w:r>
      <w:r w:rsidR="00661A86">
        <w:rPr>
          <w:rFonts w:ascii="Arial" w:hAnsi="Arial" w:cs="Arial"/>
        </w:rPr>
        <w:t xml:space="preserve"> à minuta elaborada desta resolução</w:t>
      </w:r>
      <w:r w:rsidR="00E93AC7" w:rsidRPr="00E93AC7">
        <w:rPr>
          <w:rFonts w:ascii="Arial" w:hAnsi="Arial" w:cs="Arial"/>
        </w:rPr>
        <w:t>.</w:t>
      </w:r>
    </w:p>
    <w:p w:rsidR="00E93AC7" w:rsidRDefault="00E93AC7" w:rsidP="00AC584B">
      <w:pPr>
        <w:jc w:val="both"/>
        <w:rPr>
          <w:rFonts w:ascii="Arial" w:hAnsi="Arial" w:cs="Arial"/>
        </w:rPr>
      </w:pPr>
    </w:p>
    <w:p w:rsidR="00661A86" w:rsidRDefault="00E93AC7" w:rsidP="00E93AC7">
      <w:pPr>
        <w:ind w:firstLine="708"/>
        <w:jc w:val="both"/>
      </w:pPr>
      <w:r w:rsidRPr="00E93AC7">
        <w:rPr>
          <w:rFonts w:ascii="Arial" w:hAnsi="Arial" w:cs="Arial"/>
        </w:rPr>
        <w:t>Dentre os comentá</w:t>
      </w:r>
      <w:r w:rsidR="00966D34">
        <w:rPr>
          <w:rFonts w:ascii="Arial" w:hAnsi="Arial" w:cs="Arial"/>
        </w:rPr>
        <w:t>rios e sugestões ali apresentado</w:t>
      </w:r>
      <w:r w:rsidR="00E07192">
        <w:rPr>
          <w:rFonts w:ascii="Arial" w:hAnsi="Arial" w:cs="Arial"/>
        </w:rPr>
        <w:t>s, destaca-se aquela</w:t>
      </w:r>
      <w:r w:rsidRPr="00E93AC7">
        <w:rPr>
          <w:rFonts w:ascii="Arial" w:hAnsi="Arial" w:cs="Arial"/>
        </w:rPr>
        <w:t xml:space="preserve"> do </w:t>
      </w:r>
      <w:r w:rsidRPr="00E93AC7">
        <w:rPr>
          <w:rFonts w:ascii="Arial" w:hAnsi="Arial" w:cs="Arial"/>
          <w:b/>
        </w:rPr>
        <w:t>Sindicato das Distribuidoras Regionais</w:t>
      </w:r>
      <w:r w:rsidRPr="00E93AC7">
        <w:rPr>
          <w:rFonts w:ascii="Arial" w:hAnsi="Arial" w:cs="Arial"/>
        </w:rPr>
        <w:t xml:space="preserve">, em que foi contestada exatamente a disposição que </w:t>
      </w:r>
      <w:r w:rsidRPr="00E93AC7">
        <w:rPr>
          <w:rFonts w:ascii="Arial" w:hAnsi="Arial" w:cs="Arial"/>
          <w:b/>
        </w:rPr>
        <w:t>limitava o revendedor-varejis</w:t>
      </w:r>
      <w:r w:rsidR="00B35889">
        <w:rPr>
          <w:rFonts w:ascii="Arial" w:hAnsi="Arial" w:cs="Arial"/>
          <w:b/>
        </w:rPr>
        <w:t>ta de uma determinada bandeira de</w:t>
      </w:r>
      <w:r w:rsidRPr="00E93AC7">
        <w:rPr>
          <w:rFonts w:ascii="Arial" w:hAnsi="Arial" w:cs="Arial"/>
          <w:b/>
        </w:rPr>
        <w:t xml:space="preserve"> adquirir etanol exclusivamente junto ao distribuidor titular de sua bandeira</w:t>
      </w:r>
      <w:r w:rsidRPr="00E93AC7">
        <w:rPr>
          <w:rFonts w:ascii="Arial" w:hAnsi="Arial" w:cs="Arial"/>
        </w:rPr>
        <w:t>.</w:t>
      </w:r>
      <w:r w:rsidRPr="00E93AC7">
        <w:t xml:space="preserve"> </w:t>
      </w:r>
    </w:p>
    <w:p w:rsidR="00661A86" w:rsidRDefault="00661A86" w:rsidP="00E93AC7">
      <w:pPr>
        <w:ind w:firstLine="708"/>
        <w:jc w:val="both"/>
        <w:rPr>
          <w:rFonts w:ascii="Arial" w:hAnsi="Arial" w:cs="Arial"/>
        </w:rPr>
      </w:pPr>
    </w:p>
    <w:p w:rsidR="00F56786" w:rsidRDefault="00E93AC7" w:rsidP="00E93AC7">
      <w:pPr>
        <w:ind w:firstLine="708"/>
        <w:jc w:val="both"/>
        <w:rPr>
          <w:rFonts w:ascii="Arial" w:hAnsi="Arial" w:cs="Arial"/>
        </w:rPr>
      </w:pPr>
      <w:r>
        <w:rPr>
          <w:rFonts w:ascii="Arial" w:hAnsi="Arial" w:cs="Arial"/>
        </w:rPr>
        <w:t xml:space="preserve">Segundo o representante deste sindicato, </w:t>
      </w:r>
      <w:r w:rsidRPr="00E93AC7">
        <w:rPr>
          <w:rFonts w:ascii="Arial" w:hAnsi="Arial" w:cs="Arial"/>
        </w:rPr>
        <w:t>com a inclusão de referido dispositivo</w:t>
      </w:r>
      <w:r w:rsidR="00F56786">
        <w:rPr>
          <w:rFonts w:ascii="Arial" w:hAnsi="Arial" w:cs="Arial"/>
        </w:rPr>
        <w:t>,</w:t>
      </w:r>
      <w:r w:rsidRPr="00E93AC7">
        <w:rPr>
          <w:rFonts w:ascii="Arial" w:hAnsi="Arial" w:cs="Arial"/>
        </w:rPr>
        <w:t xml:space="preserve"> “a ANP </w:t>
      </w:r>
      <w:r w:rsidRPr="00E93AC7">
        <w:rPr>
          <w:rFonts w:ascii="Arial" w:hAnsi="Arial" w:cs="Arial"/>
          <w:b/>
        </w:rPr>
        <w:t>estaria defendendo os contratos de distribuidoras com postos revendedores</w:t>
      </w:r>
      <w:r w:rsidRPr="00E93AC7">
        <w:rPr>
          <w:rFonts w:ascii="Arial" w:hAnsi="Arial" w:cs="Arial"/>
        </w:rPr>
        <w:t xml:space="preserve"> ao exigir que o distribuidor apenas comercialize combustíveis com revendedor que ostente a sua marca comercial ou com posto bandeira</w:t>
      </w:r>
      <w:r w:rsidR="00966D34">
        <w:rPr>
          <w:rFonts w:ascii="Arial" w:hAnsi="Arial" w:cs="Arial"/>
        </w:rPr>
        <w:t xml:space="preserve"> branca</w:t>
      </w:r>
      <w:r w:rsidRPr="00E93AC7">
        <w:rPr>
          <w:rFonts w:ascii="Arial" w:hAnsi="Arial" w:cs="Arial"/>
        </w:rPr>
        <w:t>”, em um momento em que “</w:t>
      </w:r>
      <w:r w:rsidRPr="000B0C4F">
        <w:rPr>
          <w:rFonts w:ascii="Arial" w:hAnsi="Arial" w:cs="Arial"/>
          <w:b/>
        </w:rPr>
        <w:t>os preços estão mais competitivos em função das distribuidoras regionais</w:t>
      </w:r>
      <w:r w:rsidRPr="00E93AC7">
        <w:rPr>
          <w:rFonts w:ascii="Arial" w:hAnsi="Arial" w:cs="Arial"/>
        </w:rPr>
        <w:t xml:space="preserve">”. </w:t>
      </w:r>
    </w:p>
    <w:p w:rsidR="00F56786" w:rsidRDefault="00F56786" w:rsidP="00E93AC7">
      <w:pPr>
        <w:ind w:firstLine="708"/>
        <w:jc w:val="both"/>
        <w:rPr>
          <w:rFonts w:ascii="Arial" w:hAnsi="Arial" w:cs="Arial"/>
        </w:rPr>
      </w:pPr>
    </w:p>
    <w:p w:rsidR="00422108" w:rsidRDefault="00E93AC7" w:rsidP="00E93AC7">
      <w:pPr>
        <w:ind w:firstLine="708"/>
        <w:jc w:val="both"/>
        <w:rPr>
          <w:rFonts w:ascii="Arial" w:hAnsi="Arial" w:cs="Arial"/>
        </w:rPr>
      </w:pPr>
      <w:r w:rsidRPr="00E93AC7">
        <w:rPr>
          <w:rFonts w:ascii="Arial" w:hAnsi="Arial" w:cs="Arial"/>
        </w:rPr>
        <w:t>Diante deste quadro, sugeriu à ANP realizar “</w:t>
      </w:r>
      <w:r w:rsidRPr="000B0C4F">
        <w:rPr>
          <w:rFonts w:ascii="Arial" w:hAnsi="Arial" w:cs="Arial"/>
          <w:b/>
        </w:rPr>
        <w:t>mais fiscalização</w:t>
      </w:r>
      <w:r w:rsidRPr="00E93AC7">
        <w:rPr>
          <w:rFonts w:ascii="Arial" w:hAnsi="Arial" w:cs="Arial"/>
        </w:rPr>
        <w:t>”</w:t>
      </w:r>
      <w:r w:rsidR="007A321A">
        <w:rPr>
          <w:rFonts w:ascii="Arial" w:hAnsi="Arial" w:cs="Arial"/>
        </w:rPr>
        <w:t>,</w:t>
      </w:r>
      <w:r w:rsidRPr="00E93AC7">
        <w:rPr>
          <w:rFonts w:ascii="Arial" w:hAnsi="Arial" w:cs="Arial"/>
        </w:rPr>
        <w:t xml:space="preserve"> ao in</w:t>
      </w:r>
      <w:r w:rsidR="000B0C4F">
        <w:rPr>
          <w:rFonts w:ascii="Arial" w:hAnsi="Arial" w:cs="Arial"/>
        </w:rPr>
        <w:t>vés de introduzir tal restrição. Esta</w:t>
      </w:r>
      <w:r w:rsidRPr="00E93AC7">
        <w:rPr>
          <w:rFonts w:ascii="Arial" w:hAnsi="Arial" w:cs="Arial"/>
        </w:rPr>
        <w:t xml:space="preserve"> sugestão não </w:t>
      </w:r>
      <w:r w:rsidR="000B0C4F">
        <w:rPr>
          <w:rFonts w:ascii="Arial" w:hAnsi="Arial" w:cs="Arial"/>
        </w:rPr>
        <w:t xml:space="preserve">foi, contudo, </w:t>
      </w:r>
      <w:r w:rsidRPr="00E93AC7">
        <w:rPr>
          <w:rFonts w:ascii="Arial" w:hAnsi="Arial" w:cs="Arial"/>
        </w:rPr>
        <w:t>acatada na versão final da Resolução ANP nº 07/07</w:t>
      </w:r>
      <w:r w:rsidR="000B0C4F">
        <w:rPr>
          <w:rFonts w:ascii="Arial" w:hAnsi="Arial" w:cs="Arial"/>
        </w:rPr>
        <w:t xml:space="preserve">, dado </w:t>
      </w:r>
      <w:r w:rsidR="00966D34">
        <w:rPr>
          <w:rFonts w:ascii="Arial" w:hAnsi="Arial" w:cs="Arial"/>
        </w:rPr>
        <w:t xml:space="preserve">ter sido ali </w:t>
      </w:r>
      <w:r w:rsidR="00B35889">
        <w:rPr>
          <w:rFonts w:ascii="Arial" w:hAnsi="Arial" w:cs="Arial"/>
        </w:rPr>
        <w:t xml:space="preserve">inserida </w:t>
      </w:r>
      <w:r w:rsidR="00966D34">
        <w:rPr>
          <w:rFonts w:ascii="Arial" w:hAnsi="Arial" w:cs="Arial"/>
        </w:rPr>
        <w:t>a previsão de penalização d</w:t>
      </w:r>
      <w:r w:rsidR="000B0C4F">
        <w:rPr>
          <w:rFonts w:ascii="Arial" w:hAnsi="Arial" w:cs="Arial"/>
        </w:rPr>
        <w:t xml:space="preserve">as distribuidoras </w:t>
      </w:r>
      <w:r w:rsidR="00B35889">
        <w:rPr>
          <w:rFonts w:ascii="Arial" w:hAnsi="Arial" w:cs="Arial"/>
        </w:rPr>
        <w:t xml:space="preserve">que </w:t>
      </w:r>
      <w:r w:rsidR="00AE1801">
        <w:rPr>
          <w:rFonts w:ascii="Arial" w:hAnsi="Arial" w:cs="Arial"/>
        </w:rPr>
        <w:t>comercializa</w:t>
      </w:r>
      <w:r w:rsidR="00B35889">
        <w:rPr>
          <w:rFonts w:ascii="Arial" w:hAnsi="Arial" w:cs="Arial"/>
        </w:rPr>
        <w:t>sse</w:t>
      </w:r>
      <w:r w:rsidR="00AE1801">
        <w:rPr>
          <w:rFonts w:ascii="Arial" w:hAnsi="Arial" w:cs="Arial"/>
        </w:rPr>
        <w:t>m combustível a um revendedor que fosse de outra bandeira</w:t>
      </w:r>
      <w:r w:rsidRPr="00E93AC7">
        <w:rPr>
          <w:rFonts w:ascii="Arial" w:hAnsi="Arial" w:cs="Arial"/>
        </w:rPr>
        <w:t>.</w:t>
      </w:r>
    </w:p>
    <w:p w:rsidR="00B35889" w:rsidRDefault="00B35889" w:rsidP="00E93AC7">
      <w:pPr>
        <w:ind w:firstLine="708"/>
        <w:jc w:val="both"/>
        <w:rPr>
          <w:rFonts w:ascii="Arial" w:hAnsi="Arial" w:cs="Arial"/>
        </w:rPr>
      </w:pPr>
    </w:p>
    <w:p w:rsidR="00536556" w:rsidRDefault="00B35889" w:rsidP="00E93AC7">
      <w:pPr>
        <w:ind w:firstLine="708"/>
        <w:jc w:val="both"/>
        <w:rPr>
          <w:rFonts w:ascii="Arial" w:hAnsi="Arial" w:cs="Arial"/>
        </w:rPr>
      </w:pPr>
      <w:r>
        <w:rPr>
          <w:rFonts w:ascii="Arial" w:hAnsi="Arial" w:cs="Arial"/>
        </w:rPr>
        <w:t xml:space="preserve">Ainda sobre as justificativas trazidas para a adoção </w:t>
      </w:r>
      <w:r w:rsidR="00F231AB">
        <w:rPr>
          <w:rFonts w:ascii="Arial" w:hAnsi="Arial" w:cs="Arial"/>
        </w:rPr>
        <w:t>desta regra, faz-se mister levantar questionamento</w:t>
      </w:r>
      <w:r w:rsidR="00EF6127">
        <w:rPr>
          <w:rFonts w:ascii="Arial" w:hAnsi="Arial" w:cs="Arial"/>
        </w:rPr>
        <w:t>s</w:t>
      </w:r>
      <w:r w:rsidR="00F231AB">
        <w:rPr>
          <w:rFonts w:ascii="Arial" w:hAnsi="Arial" w:cs="Arial"/>
        </w:rPr>
        <w:t xml:space="preserve"> acerca d</w:t>
      </w:r>
      <w:r w:rsidR="00966D34">
        <w:rPr>
          <w:rFonts w:ascii="Arial" w:hAnsi="Arial" w:cs="Arial"/>
        </w:rPr>
        <w:t>e su</w:t>
      </w:r>
      <w:r w:rsidR="00F231AB">
        <w:rPr>
          <w:rFonts w:ascii="Arial" w:hAnsi="Arial" w:cs="Arial"/>
        </w:rPr>
        <w:t>a eficiência</w:t>
      </w:r>
      <w:r w:rsidR="001229F9">
        <w:rPr>
          <w:rFonts w:ascii="Arial" w:hAnsi="Arial" w:cs="Arial"/>
        </w:rPr>
        <w:t>,</w:t>
      </w:r>
      <w:r w:rsidR="00F231AB">
        <w:rPr>
          <w:rFonts w:ascii="Arial" w:hAnsi="Arial" w:cs="Arial"/>
        </w:rPr>
        <w:t xml:space="preserve"> se o objetivo em questão era garantir maior qualidade ao combustível </w:t>
      </w:r>
      <w:r w:rsidR="0034171C">
        <w:rPr>
          <w:rFonts w:ascii="Arial" w:hAnsi="Arial" w:cs="Arial"/>
        </w:rPr>
        <w:t xml:space="preserve">comercializado pelos postos revendedores. </w:t>
      </w:r>
    </w:p>
    <w:p w:rsidR="00536556" w:rsidRDefault="00536556" w:rsidP="00E93AC7">
      <w:pPr>
        <w:ind w:firstLine="708"/>
        <w:jc w:val="both"/>
        <w:rPr>
          <w:rFonts w:ascii="Arial" w:hAnsi="Arial" w:cs="Arial"/>
        </w:rPr>
      </w:pPr>
    </w:p>
    <w:p w:rsidR="00AE1801" w:rsidRDefault="0034171C" w:rsidP="00E93AC7">
      <w:pPr>
        <w:ind w:firstLine="708"/>
        <w:jc w:val="both"/>
        <w:rPr>
          <w:rFonts w:ascii="Arial" w:hAnsi="Arial" w:cs="Arial"/>
        </w:rPr>
      </w:pPr>
      <w:r>
        <w:rPr>
          <w:rFonts w:ascii="Arial" w:hAnsi="Arial" w:cs="Arial"/>
        </w:rPr>
        <w:t>Em outros termos</w:t>
      </w:r>
      <w:r w:rsidR="006D3AF4">
        <w:rPr>
          <w:rFonts w:ascii="Arial" w:hAnsi="Arial" w:cs="Arial"/>
        </w:rPr>
        <w:t xml:space="preserve"> e c</w:t>
      </w:r>
      <w:r>
        <w:rPr>
          <w:rFonts w:ascii="Arial" w:hAnsi="Arial" w:cs="Arial"/>
        </w:rPr>
        <w:t>onforme destacaremos mais adiante, pelos dados de fiscalização da ANP</w:t>
      </w:r>
      <w:r w:rsidR="00462D04">
        <w:rPr>
          <w:rFonts w:ascii="Arial" w:hAnsi="Arial" w:cs="Arial"/>
        </w:rPr>
        <w:t>, o número de postos bandeirados autuados por adulteração de combustíveis é muito próximo àquele de não-bandeirados, sendo certo que muitos postos bandeira branca são abastecidos pelas próprias distribuidoras bandeiradas</w:t>
      </w:r>
      <w:r w:rsidR="005D1FB9">
        <w:rPr>
          <w:rFonts w:ascii="Arial" w:hAnsi="Arial" w:cs="Arial"/>
        </w:rPr>
        <w:t>.</w:t>
      </w:r>
      <w:r w:rsidR="007A321A">
        <w:rPr>
          <w:rFonts w:ascii="Arial" w:hAnsi="Arial" w:cs="Arial"/>
        </w:rPr>
        <w:t xml:space="preserve"> Estes dados não são, contudo, amplamente divulgados ao mercado, exatamente porque não interessam às distribuidoras bandeira</w:t>
      </w:r>
      <w:r w:rsidR="0096479F">
        <w:rPr>
          <w:rFonts w:ascii="Arial" w:hAnsi="Arial" w:cs="Arial"/>
        </w:rPr>
        <w:t>da</w:t>
      </w:r>
      <w:r w:rsidR="007A321A">
        <w:rPr>
          <w:rFonts w:ascii="Arial" w:hAnsi="Arial" w:cs="Arial"/>
        </w:rPr>
        <w:t>s informar aos consumidores que</w:t>
      </w:r>
      <w:r w:rsidR="00D62D38">
        <w:rPr>
          <w:rFonts w:ascii="Arial" w:hAnsi="Arial" w:cs="Arial"/>
        </w:rPr>
        <w:t xml:space="preserve"> (1) </w:t>
      </w:r>
      <w:r w:rsidR="007A321A">
        <w:rPr>
          <w:rFonts w:ascii="Arial" w:hAnsi="Arial" w:cs="Arial"/>
        </w:rPr>
        <w:t xml:space="preserve">o número de postos autuados por </w:t>
      </w:r>
      <w:r w:rsidR="00D62D38">
        <w:rPr>
          <w:rFonts w:ascii="Arial" w:hAnsi="Arial" w:cs="Arial"/>
        </w:rPr>
        <w:t xml:space="preserve">irregularidades de qualidade é baixo; e, especialmente, que (b) o número de postos bandeirados autuados é próximo àquele de não-bandeirados. </w:t>
      </w:r>
    </w:p>
    <w:p w:rsidR="00462D04" w:rsidRDefault="00462D04" w:rsidP="00E93AC7">
      <w:pPr>
        <w:ind w:firstLine="708"/>
        <w:jc w:val="both"/>
        <w:rPr>
          <w:rFonts w:ascii="Arial" w:hAnsi="Arial" w:cs="Arial"/>
        </w:rPr>
      </w:pPr>
    </w:p>
    <w:p w:rsidR="00F327AB" w:rsidRDefault="00462D04" w:rsidP="002805E3">
      <w:pPr>
        <w:ind w:firstLine="708"/>
        <w:jc w:val="both"/>
        <w:rPr>
          <w:rFonts w:ascii="Arial" w:hAnsi="Arial" w:cs="Arial"/>
          <w:b/>
        </w:rPr>
      </w:pPr>
      <w:r>
        <w:rPr>
          <w:rFonts w:ascii="Arial" w:hAnsi="Arial" w:cs="Arial"/>
        </w:rPr>
        <w:t xml:space="preserve">Além disso, </w:t>
      </w:r>
      <w:r w:rsidR="006D3AF4">
        <w:rPr>
          <w:rFonts w:ascii="Arial" w:hAnsi="Arial" w:cs="Arial"/>
        </w:rPr>
        <w:t>se o real objetivo desta medida do embandeiramento era a garantia de uma melhor qualidade no combustível ofertado pelo posto-revendedor aos consumidores finais</w:t>
      </w:r>
      <w:r w:rsidR="00EF1322">
        <w:rPr>
          <w:rFonts w:ascii="Arial" w:hAnsi="Arial" w:cs="Arial"/>
        </w:rPr>
        <w:t xml:space="preserve">, entendemos que as normas do embandeiramento, assim como os próprios </w:t>
      </w:r>
      <w:r w:rsidR="00D3021C">
        <w:rPr>
          <w:rFonts w:ascii="Arial" w:hAnsi="Arial" w:cs="Arial"/>
        </w:rPr>
        <w:t xml:space="preserve">contratos de exclusividade celebrados </w:t>
      </w:r>
      <w:r w:rsidR="001D329C">
        <w:rPr>
          <w:rFonts w:ascii="Arial" w:hAnsi="Arial" w:cs="Arial"/>
        </w:rPr>
        <w:t>entre a</w:t>
      </w:r>
      <w:r w:rsidR="00D3021C">
        <w:rPr>
          <w:rFonts w:ascii="Arial" w:hAnsi="Arial" w:cs="Arial"/>
        </w:rPr>
        <w:t xml:space="preserve">s distribuidoras bandeiradas </w:t>
      </w:r>
      <w:r w:rsidR="001D329C">
        <w:rPr>
          <w:rFonts w:ascii="Arial" w:hAnsi="Arial" w:cs="Arial"/>
        </w:rPr>
        <w:t>e seus postos-revendedores,</w:t>
      </w:r>
      <w:r w:rsidR="00D3021C">
        <w:rPr>
          <w:rFonts w:ascii="Arial" w:hAnsi="Arial" w:cs="Arial"/>
        </w:rPr>
        <w:t xml:space="preserve"> </w:t>
      </w:r>
      <w:r w:rsidR="00EF1322">
        <w:rPr>
          <w:rFonts w:ascii="Arial" w:hAnsi="Arial" w:cs="Arial"/>
        </w:rPr>
        <w:t>deveriam</w:t>
      </w:r>
      <w:r w:rsidR="00107C70">
        <w:rPr>
          <w:rFonts w:ascii="Arial" w:hAnsi="Arial" w:cs="Arial"/>
        </w:rPr>
        <w:t xml:space="preserve"> trazer, por exemplo</w:t>
      </w:r>
      <w:r w:rsidR="00107C70" w:rsidRPr="001229F9">
        <w:rPr>
          <w:rFonts w:ascii="Arial" w:hAnsi="Arial" w:cs="Arial"/>
          <w:b/>
        </w:rPr>
        <w:t xml:space="preserve">, regras expressas </w:t>
      </w:r>
      <w:r w:rsidR="004E0372">
        <w:rPr>
          <w:rFonts w:ascii="Arial" w:hAnsi="Arial" w:cs="Arial"/>
          <w:b/>
        </w:rPr>
        <w:t xml:space="preserve">e efetivas </w:t>
      </w:r>
      <w:r w:rsidR="00107C70" w:rsidRPr="001229F9">
        <w:rPr>
          <w:rFonts w:ascii="Arial" w:hAnsi="Arial" w:cs="Arial"/>
          <w:b/>
        </w:rPr>
        <w:t xml:space="preserve">de </w:t>
      </w:r>
      <w:r w:rsidR="004E0372">
        <w:rPr>
          <w:rFonts w:ascii="Arial" w:hAnsi="Arial" w:cs="Arial"/>
          <w:b/>
        </w:rPr>
        <w:t xml:space="preserve">cassação de </w:t>
      </w:r>
      <w:r w:rsidR="004E0372">
        <w:rPr>
          <w:rFonts w:ascii="Arial" w:hAnsi="Arial" w:cs="Arial"/>
          <w:b/>
        </w:rPr>
        <w:lastRenderedPageBreak/>
        <w:t xml:space="preserve">autorização e </w:t>
      </w:r>
      <w:r w:rsidR="00107C70" w:rsidRPr="001229F9">
        <w:rPr>
          <w:rFonts w:ascii="Arial" w:hAnsi="Arial" w:cs="Arial"/>
          <w:b/>
        </w:rPr>
        <w:t>descredenciamento do posto</w:t>
      </w:r>
      <w:r w:rsidR="004E0372">
        <w:rPr>
          <w:rFonts w:ascii="Arial" w:hAnsi="Arial" w:cs="Arial"/>
          <w:b/>
        </w:rPr>
        <w:t>,</w:t>
      </w:r>
      <w:r w:rsidR="00107C70" w:rsidRPr="001229F9">
        <w:rPr>
          <w:rFonts w:ascii="Arial" w:hAnsi="Arial" w:cs="Arial"/>
          <w:b/>
        </w:rPr>
        <w:t xml:space="preserve"> na hipótese de ser verificad</w:t>
      </w:r>
      <w:r w:rsidR="00BD2ACE">
        <w:rPr>
          <w:rFonts w:ascii="Arial" w:hAnsi="Arial" w:cs="Arial"/>
          <w:b/>
        </w:rPr>
        <w:t>o</w:t>
      </w:r>
      <w:r w:rsidR="00107C70" w:rsidRPr="001229F9">
        <w:rPr>
          <w:rFonts w:ascii="Arial" w:hAnsi="Arial" w:cs="Arial"/>
          <w:b/>
        </w:rPr>
        <w:t xml:space="preserve"> algum tipo de adulteração</w:t>
      </w:r>
      <w:r w:rsidR="004E0372">
        <w:rPr>
          <w:rFonts w:ascii="Arial" w:hAnsi="Arial" w:cs="Arial"/>
          <w:b/>
        </w:rPr>
        <w:t xml:space="preserve"> nos combustíveis comercializados por estes</w:t>
      </w:r>
      <w:r w:rsidR="00BD2ACE">
        <w:rPr>
          <w:rFonts w:ascii="Arial" w:hAnsi="Arial" w:cs="Arial"/>
          <w:b/>
        </w:rPr>
        <w:t xml:space="preserve">. </w:t>
      </w:r>
    </w:p>
    <w:p w:rsidR="00F327AB" w:rsidRDefault="00F327AB" w:rsidP="002805E3">
      <w:pPr>
        <w:ind w:firstLine="708"/>
        <w:jc w:val="both"/>
        <w:rPr>
          <w:rFonts w:ascii="Arial" w:hAnsi="Arial" w:cs="Arial"/>
          <w:b/>
        </w:rPr>
      </w:pPr>
    </w:p>
    <w:p w:rsidR="00F327AB" w:rsidRDefault="00BD2ACE" w:rsidP="0096479F">
      <w:pPr>
        <w:ind w:firstLine="708"/>
        <w:jc w:val="both"/>
        <w:rPr>
          <w:rFonts w:ascii="Arial" w:hAnsi="Arial" w:cs="Arial"/>
        </w:rPr>
      </w:pPr>
      <w:r>
        <w:rPr>
          <w:rFonts w:ascii="Arial" w:hAnsi="Arial" w:cs="Arial"/>
          <w:b/>
        </w:rPr>
        <w:t>A</w:t>
      </w:r>
      <w:r w:rsidR="00107C70" w:rsidRPr="001229F9">
        <w:rPr>
          <w:rFonts w:ascii="Arial" w:hAnsi="Arial" w:cs="Arial"/>
          <w:b/>
        </w:rPr>
        <w:t xml:space="preserve"> responsabilidade solidária das próprias distribuidoras bandeiradas</w:t>
      </w:r>
      <w:r w:rsidR="00F73089">
        <w:rPr>
          <w:rFonts w:ascii="Arial" w:hAnsi="Arial" w:cs="Arial"/>
          <w:b/>
        </w:rPr>
        <w:t>,</w:t>
      </w:r>
      <w:r w:rsidR="00107C70" w:rsidRPr="001229F9">
        <w:rPr>
          <w:rFonts w:ascii="Arial" w:hAnsi="Arial" w:cs="Arial"/>
          <w:b/>
        </w:rPr>
        <w:t xml:space="preserve"> na hipótese de serem verificadas tais regularidades pelos postos credenciados à sua bandeira</w:t>
      </w:r>
      <w:r>
        <w:rPr>
          <w:rFonts w:ascii="Arial" w:hAnsi="Arial" w:cs="Arial"/>
          <w:b/>
        </w:rPr>
        <w:t>, previstas nas normas da ANP, também deveria ser mais efetiva</w:t>
      </w:r>
      <w:r w:rsidR="00107C70">
        <w:rPr>
          <w:rFonts w:ascii="Arial" w:hAnsi="Arial" w:cs="Arial"/>
        </w:rPr>
        <w:t>.</w:t>
      </w:r>
      <w:r w:rsidR="004E0372">
        <w:rPr>
          <w:rFonts w:ascii="Arial" w:hAnsi="Arial" w:cs="Arial"/>
        </w:rPr>
        <w:t xml:space="preserve"> Ou seja, as distribuidoras deveriam ser penalizadas</w:t>
      </w:r>
      <w:r w:rsidR="00D81890">
        <w:rPr>
          <w:rFonts w:ascii="Arial" w:hAnsi="Arial" w:cs="Arial"/>
        </w:rPr>
        <w:t xml:space="preserve"> objetivamente</w:t>
      </w:r>
      <w:r w:rsidR="004E0372">
        <w:rPr>
          <w:rFonts w:ascii="Arial" w:hAnsi="Arial" w:cs="Arial"/>
        </w:rPr>
        <w:t xml:space="preserve">, inclusive com a sanção de cassação, </w:t>
      </w:r>
      <w:r w:rsidR="00D81890">
        <w:rPr>
          <w:rFonts w:ascii="Arial" w:hAnsi="Arial" w:cs="Arial"/>
        </w:rPr>
        <w:t xml:space="preserve">ou seja, “independentemente da verificação de sua culpa”. Afinal, um dos pilares do embandeiramento </w:t>
      </w:r>
      <w:r w:rsidR="0096479F">
        <w:rPr>
          <w:rFonts w:ascii="Arial" w:hAnsi="Arial" w:cs="Arial"/>
        </w:rPr>
        <w:t xml:space="preserve">– </w:t>
      </w:r>
      <w:r w:rsidR="00D81890">
        <w:rPr>
          <w:rFonts w:ascii="Arial" w:hAnsi="Arial" w:cs="Arial"/>
        </w:rPr>
        <w:t>e</w:t>
      </w:r>
      <w:r w:rsidR="0096479F">
        <w:rPr>
          <w:rFonts w:ascii="Arial" w:hAnsi="Arial" w:cs="Arial"/>
        </w:rPr>
        <w:t>, consequentemente,</w:t>
      </w:r>
      <w:r w:rsidR="00D81890">
        <w:rPr>
          <w:rFonts w:ascii="Arial" w:hAnsi="Arial" w:cs="Arial"/>
        </w:rPr>
        <w:t xml:space="preserve"> da exclusividade por detrás desta regra</w:t>
      </w:r>
      <w:r w:rsidR="0096479F">
        <w:rPr>
          <w:rFonts w:ascii="Arial" w:hAnsi="Arial" w:cs="Arial"/>
        </w:rPr>
        <w:t>,</w:t>
      </w:r>
      <w:r w:rsidR="00D81890">
        <w:rPr>
          <w:rFonts w:ascii="Arial" w:hAnsi="Arial" w:cs="Arial"/>
        </w:rPr>
        <w:t xml:space="preserve"> </w:t>
      </w:r>
      <w:r w:rsidR="0096479F">
        <w:rPr>
          <w:rFonts w:ascii="Arial" w:hAnsi="Arial" w:cs="Arial"/>
        </w:rPr>
        <w:t xml:space="preserve">– </w:t>
      </w:r>
      <w:r w:rsidR="00D81890">
        <w:rPr>
          <w:rFonts w:ascii="Arial" w:hAnsi="Arial" w:cs="Arial"/>
        </w:rPr>
        <w:t>é</w:t>
      </w:r>
      <w:r w:rsidR="0096479F">
        <w:rPr>
          <w:rFonts w:ascii="Arial" w:hAnsi="Arial" w:cs="Arial"/>
        </w:rPr>
        <w:t>, não somente,</w:t>
      </w:r>
      <w:r w:rsidR="00D81890">
        <w:rPr>
          <w:rFonts w:ascii="Arial" w:hAnsi="Arial" w:cs="Arial"/>
        </w:rPr>
        <w:t xml:space="preserve"> transferência da responsabilidade da qualidade do combustível ofertado pelo posto bandeirado à distribuidora</w:t>
      </w:r>
      <w:r w:rsidR="0096479F">
        <w:rPr>
          <w:rFonts w:ascii="Arial" w:hAnsi="Arial" w:cs="Arial"/>
        </w:rPr>
        <w:t>, como também forçar que a distribuidora bandeira fiscalize e puna com maior rigor os postos de sua bandeira que descumprem as regras de qualidade impostas pela ANP</w:t>
      </w:r>
      <w:r w:rsidR="00D81890">
        <w:rPr>
          <w:rFonts w:ascii="Arial" w:hAnsi="Arial" w:cs="Arial"/>
        </w:rPr>
        <w:t>; e</w:t>
      </w:r>
      <w:r w:rsidR="0096479F">
        <w:rPr>
          <w:rFonts w:ascii="Arial" w:hAnsi="Arial" w:cs="Arial"/>
        </w:rPr>
        <w:t>,</w:t>
      </w:r>
      <w:r w:rsidR="00D81890">
        <w:rPr>
          <w:rFonts w:ascii="Arial" w:hAnsi="Arial" w:cs="Arial"/>
        </w:rPr>
        <w:t xml:space="preserve"> não apenas garantir uma reserva de mercado e o monopólio sobre o posto bandeirado.</w:t>
      </w:r>
      <w:r w:rsidR="00107C70">
        <w:rPr>
          <w:rFonts w:ascii="Arial" w:hAnsi="Arial" w:cs="Arial"/>
        </w:rPr>
        <w:t xml:space="preserve"> </w:t>
      </w:r>
    </w:p>
    <w:p w:rsidR="00F327AB" w:rsidRDefault="00F327AB" w:rsidP="002805E3">
      <w:pPr>
        <w:ind w:firstLine="708"/>
        <w:jc w:val="both"/>
        <w:rPr>
          <w:rFonts w:ascii="Arial" w:hAnsi="Arial" w:cs="Arial"/>
        </w:rPr>
      </w:pPr>
    </w:p>
    <w:p w:rsidR="002805E3" w:rsidRDefault="00107C70" w:rsidP="002805E3">
      <w:pPr>
        <w:ind w:firstLine="708"/>
        <w:jc w:val="both"/>
        <w:rPr>
          <w:rFonts w:ascii="Arial" w:hAnsi="Arial" w:cs="Arial"/>
        </w:rPr>
      </w:pPr>
      <w:r>
        <w:rPr>
          <w:rFonts w:ascii="Arial" w:hAnsi="Arial" w:cs="Arial"/>
        </w:rPr>
        <w:t xml:space="preserve">Com efeito, </w:t>
      </w:r>
      <w:r w:rsidR="00031F0D">
        <w:rPr>
          <w:rFonts w:ascii="Arial" w:hAnsi="Arial" w:cs="Arial"/>
        </w:rPr>
        <w:t>este</w:t>
      </w:r>
      <w:r w:rsidR="00BD2ACE">
        <w:rPr>
          <w:rFonts w:ascii="Arial" w:hAnsi="Arial" w:cs="Arial"/>
        </w:rPr>
        <w:t>s</w:t>
      </w:r>
      <w:r w:rsidR="00031F0D">
        <w:rPr>
          <w:rFonts w:ascii="Arial" w:hAnsi="Arial" w:cs="Arial"/>
        </w:rPr>
        <w:t xml:space="preserve"> tipo</w:t>
      </w:r>
      <w:r w:rsidR="00BD2ACE">
        <w:rPr>
          <w:rFonts w:ascii="Arial" w:hAnsi="Arial" w:cs="Arial"/>
        </w:rPr>
        <w:t>s</w:t>
      </w:r>
      <w:r w:rsidR="00031F0D">
        <w:rPr>
          <w:rFonts w:ascii="Arial" w:hAnsi="Arial" w:cs="Arial"/>
        </w:rPr>
        <w:t xml:space="preserve"> de </w:t>
      </w:r>
      <w:r w:rsidR="000F3565">
        <w:rPr>
          <w:rFonts w:ascii="Arial" w:hAnsi="Arial" w:cs="Arial"/>
        </w:rPr>
        <w:t>previsão</w:t>
      </w:r>
      <w:r w:rsidR="00D81890">
        <w:rPr>
          <w:rFonts w:ascii="Arial" w:hAnsi="Arial" w:cs="Arial"/>
        </w:rPr>
        <w:t xml:space="preserve"> e, especialmente, de efetivação de</w:t>
      </w:r>
      <w:r w:rsidR="000F3565">
        <w:rPr>
          <w:rFonts w:ascii="Arial" w:hAnsi="Arial" w:cs="Arial"/>
        </w:rPr>
        <w:t xml:space="preserve"> </w:t>
      </w:r>
      <w:r w:rsidR="00031F0D">
        <w:rPr>
          <w:rFonts w:ascii="Arial" w:hAnsi="Arial" w:cs="Arial"/>
        </w:rPr>
        <w:t xml:space="preserve">responsabilização e </w:t>
      </w:r>
      <w:r w:rsidR="006E2CF2">
        <w:rPr>
          <w:rFonts w:ascii="Arial" w:hAnsi="Arial" w:cs="Arial"/>
        </w:rPr>
        <w:t>punição</w:t>
      </w:r>
      <w:r w:rsidR="00D81890">
        <w:rPr>
          <w:rFonts w:ascii="Arial" w:hAnsi="Arial" w:cs="Arial"/>
        </w:rPr>
        <w:t xml:space="preserve"> não parecem ser a regra </w:t>
      </w:r>
      <w:r w:rsidR="000F2315">
        <w:rPr>
          <w:rFonts w:ascii="Arial" w:hAnsi="Arial" w:cs="Arial"/>
        </w:rPr>
        <w:t>adotada pelas distribuidoras bandeiradas e, tampouco, das ações e medidas adotadas pela ANP até o momento</w:t>
      </w:r>
      <w:r w:rsidR="002805E3">
        <w:rPr>
          <w:rFonts w:ascii="Arial" w:hAnsi="Arial" w:cs="Arial"/>
        </w:rPr>
        <w:t>.</w:t>
      </w:r>
    </w:p>
    <w:p w:rsidR="002805E3" w:rsidRDefault="002805E3" w:rsidP="002805E3">
      <w:pPr>
        <w:ind w:firstLine="708"/>
        <w:jc w:val="both"/>
        <w:rPr>
          <w:rFonts w:ascii="Arial" w:hAnsi="Arial" w:cs="Arial"/>
        </w:rPr>
      </w:pPr>
    </w:p>
    <w:p w:rsidR="000700BE" w:rsidRDefault="002805E3" w:rsidP="002805E3">
      <w:pPr>
        <w:ind w:firstLine="708"/>
        <w:jc w:val="both"/>
        <w:rPr>
          <w:rFonts w:ascii="Arial" w:hAnsi="Arial" w:cs="Arial"/>
        </w:rPr>
      </w:pPr>
      <w:r>
        <w:rPr>
          <w:rFonts w:ascii="Arial" w:hAnsi="Arial" w:cs="Arial"/>
        </w:rPr>
        <w:t>Este</w:t>
      </w:r>
      <w:r w:rsidR="00BD2ACE">
        <w:rPr>
          <w:rFonts w:ascii="Arial" w:hAnsi="Arial" w:cs="Arial"/>
        </w:rPr>
        <w:t>s</w:t>
      </w:r>
      <w:r>
        <w:rPr>
          <w:rFonts w:ascii="Arial" w:hAnsi="Arial" w:cs="Arial"/>
        </w:rPr>
        <w:t xml:space="preserve"> tipo</w:t>
      </w:r>
      <w:r w:rsidR="00BD2ACE">
        <w:rPr>
          <w:rFonts w:ascii="Arial" w:hAnsi="Arial" w:cs="Arial"/>
        </w:rPr>
        <w:t>s</w:t>
      </w:r>
      <w:r>
        <w:rPr>
          <w:rFonts w:ascii="Arial" w:hAnsi="Arial" w:cs="Arial"/>
        </w:rPr>
        <w:t xml:space="preserve"> de medida</w:t>
      </w:r>
      <w:r w:rsidR="00BD2ACE">
        <w:rPr>
          <w:rFonts w:ascii="Arial" w:hAnsi="Arial" w:cs="Arial"/>
        </w:rPr>
        <w:t>s</w:t>
      </w:r>
      <w:r>
        <w:rPr>
          <w:rFonts w:ascii="Arial" w:hAnsi="Arial" w:cs="Arial"/>
        </w:rPr>
        <w:t>, além de reforçar</w:t>
      </w:r>
      <w:r w:rsidR="00E15C88">
        <w:rPr>
          <w:rFonts w:ascii="Arial" w:hAnsi="Arial" w:cs="Arial"/>
        </w:rPr>
        <w:t>em</w:t>
      </w:r>
      <w:r>
        <w:rPr>
          <w:rFonts w:ascii="Arial" w:hAnsi="Arial" w:cs="Arial"/>
        </w:rPr>
        <w:t xml:space="preserve"> a preocupação levantada </w:t>
      </w:r>
      <w:r w:rsidR="001D00C7">
        <w:rPr>
          <w:rFonts w:ascii="Arial" w:hAnsi="Arial" w:cs="Arial"/>
        </w:rPr>
        <w:t>pela ANP em relação à proteção da qualidade dos combustíveis consumidos pelos clientes finais, ainda acabaria</w:t>
      </w:r>
      <w:r w:rsidR="00BD2ACE">
        <w:rPr>
          <w:rFonts w:ascii="Arial" w:hAnsi="Arial" w:cs="Arial"/>
        </w:rPr>
        <w:t>m</w:t>
      </w:r>
      <w:r w:rsidR="001D00C7">
        <w:rPr>
          <w:rFonts w:ascii="Arial" w:hAnsi="Arial" w:cs="Arial"/>
        </w:rPr>
        <w:t xml:space="preserve"> por reduzir os custos de fiscalização da própria agência, uma vez que as próprias distribuidoras bandeiradas se veriam na obrigação de manter </w:t>
      </w:r>
      <w:r w:rsidR="00FE2F98">
        <w:rPr>
          <w:rFonts w:ascii="Arial" w:hAnsi="Arial" w:cs="Arial"/>
        </w:rPr>
        <w:t>seus postos bandeirados comercializando combustíveis de boa qualidade.</w:t>
      </w:r>
      <w:r w:rsidR="00BD2ACE">
        <w:rPr>
          <w:rFonts w:ascii="Arial" w:hAnsi="Arial" w:cs="Arial"/>
        </w:rPr>
        <w:t xml:space="preserve"> </w:t>
      </w:r>
    </w:p>
    <w:p w:rsidR="000700BE" w:rsidRDefault="000700BE" w:rsidP="002805E3">
      <w:pPr>
        <w:ind w:firstLine="708"/>
        <w:jc w:val="both"/>
        <w:rPr>
          <w:rFonts w:ascii="Arial" w:hAnsi="Arial" w:cs="Arial"/>
        </w:rPr>
      </w:pPr>
    </w:p>
    <w:p w:rsidR="00151961" w:rsidRDefault="00FE2F98" w:rsidP="002805E3">
      <w:pPr>
        <w:ind w:firstLine="708"/>
        <w:jc w:val="both"/>
        <w:rPr>
          <w:rFonts w:ascii="Arial" w:hAnsi="Arial" w:cs="Arial"/>
          <w:b/>
        </w:rPr>
      </w:pPr>
      <w:r>
        <w:rPr>
          <w:rFonts w:ascii="Arial" w:hAnsi="Arial" w:cs="Arial"/>
        </w:rPr>
        <w:t xml:space="preserve">Em outros termos, </w:t>
      </w:r>
      <w:r w:rsidR="006D2E3B">
        <w:rPr>
          <w:rFonts w:ascii="Arial" w:hAnsi="Arial" w:cs="Arial"/>
        </w:rPr>
        <w:t>a nosso ver</w:t>
      </w:r>
      <w:r>
        <w:rPr>
          <w:rFonts w:ascii="Arial" w:hAnsi="Arial" w:cs="Arial"/>
        </w:rPr>
        <w:t xml:space="preserve"> </w:t>
      </w:r>
      <w:r w:rsidRPr="000700BE">
        <w:rPr>
          <w:rFonts w:ascii="Arial" w:hAnsi="Arial" w:cs="Arial"/>
          <w:b/>
        </w:rPr>
        <w:t>a regra de embandeiramento</w:t>
      </w:r>
      <w:r w:rsidR="000F2315">
        <w:rPr>
          <w:rFonts w:ascii="Arial" w:hAnsi="Arial" w:cs="Arial"/>
          <w:b/>
        </w:rPr>
        <w:t>,</w:t>
      </w:r>
      <w:r w:rsidRPr="000700BE">
        <w:rPr>
          <w:rFonts w:ascii="Arial" w:hAnsi="Arial" w:cs="Arial"/>
          <w:b/>
        </w:rPr>
        <w:t xml:space="preserve"> atualmente implementada </w:t>
      </w:r>
      <w:r w:rsidR="006D2E3B" w:rsidRPr="000700BE">
        <w:rPr>
          <w:rFonts w:ascii="Arial" w:hAnsi="Arial" w:cs="Arial"/>
          <w:b/>
        </w:rPr>
        <w:t>pela ANP</w:t>
      </w:r>
      <w:r w:rsidR="000F2315">
        <w:rPr>
          <w:rFonts w:ascii="Arial" w:hAnsi="Arial" w:cs="Arial"/>
          <w:b/>
        </w:rPr>
        <w:t>,</w:t>
      </w:r>
      <w:r w:rsidR="006D2E3B" w:rsidRPr="000700BE">
        <w:rPr>
          <w:rFonts w:ascii="Arial" w:hAnsi="Arial" w:cs="Arial"/>
          <w:b/>
        </w:rPr>
        <w:t xml:space="preserve"> não tem, por um lado, solucionado o problema da adulteração de combustíveis pelos postos revendedores, bandeirados e não-bandeirados</w:t>
      </w:r>
      <w:r w:rsidR="000700BE">
        <w:rPr>
          <w:rFonts w:ascii="Arial" w:hAnsi="Arial" w:cs="Arial"/>
          <w:b/>
        </w:rPr>
        <w:t>; porém,</w:t>
      </w:r>
      <w:r w:rsidR="000700BE" w:rsidRPr="000700BE">
        <w:rPr>
          <w:rFonts w:ascii="Arial" w:hAnsi="Arial" w:cs="Arial"/>
          <w:b/>
        </w:rPr>
        <w:t xml:space="preserve"> </w:t>
      </w:r>
      <w:r w:rsidR="006D2E3B" w:rsidRPr="000700BE">
        <w:rPr>
          <w:rFonts w:ascii="Arial" w:hAnsi="Arial" w:cs="Arial"/>
          <w:b/>
        </w:rPr>
        <w:t xml:space="preserve">por outro, tem reforçado um oligopólio </w:t>
      </w:r>
      <w:r w:rsidR="000700BE">
        <w:rPr>
          <w:rFonts w:ascii="Arial" w:hAnsi="Arial" w:cs="Arial"/>
          <w:b/>
        </w:rPr>
        <w:t xml:space="preserve">nacional (e, em muitos municípios brasileiros, monopólios ou duopólios) </w:t>
      </w:r>
      <w:r w:rsidR="006D2E3B" w:rsidRPr="000700BE">
        <w:rPr>
          <w:rFonts w:ascii="Arial" w:hAnsi="Arial" w:cs="Arial"/>
          <w:b/>
        </w:rPr>
        <w:t>formado p</w:t>
      </w:r>
      <w:r w:rsidR="00732355">
        <w:rPr>
          <w:rFonts w:ascii="Arial" w:hAnsi="Arial" w:cs="Arial"/>
          <w:b/>
        </w:rPr>
        <w:t>elas</w:t>
      </w:r>
      <w:r w:rsidR="006D2E3B" w:rsidRPr="000700BE">
        <w:rPr>
          <w:rFonts w:ascii="Arial" w:hAnsi="Arial" w:cs="Arial"/>
          <w:b/>
        </w:rPr>
        <w:t xml:space="preserve"> três grandes distribuidoras</w:t>
      </w:r>
      <w:r w:rsidR="00ED0B7B">
        <w:rPr>
          <w:rFonts w:ascii="Arial" w:hAnsi="Arial" w:cs="Arial"/>
          <w:b/>
        </w:rPr>
        <w:t xml:space="preserve"> (BR Distribuidora, Raízen e Ipiranga)</w:t>
      </w:r>
      <w:r w:rsidR="00151961">
        <w:rPr>
          <w:rFonts w:ascii="Arial" w:hAnsi="Arial" w:cs="Arial"/>
          <w:b/>
        </w:rPr>
        <w:t xml:space="preserve">. </w:t>
      </w:r>
    </w:p>
    <w:p w:rsidR="00151961" w:rsidRDefault="00151961" w:rsidP="002805E3">
      <w:pPr>
        <w:ind w:firstLine="708"/>
        <w:jc w:val="both"/>
        <w:rPr>
          <w:rFonts w:ascii="Arial" w:hAnsi="Arial" w:cs="Arial"/>
          <w:b/>
        </w:rPr>
      </w:pPr>
    </w:p>
    <w:p w:rsidR="009B34E6" w:rsidRDefault="00151961" w:rsidP="009B34E6">
      <w:pPr>
        <w:ind w:firstLine="708"/>
        <w:jc w:val="both"/>
        <w:rPr>
          <w:rFonts w:ascii="Arial" w:hAnsi="Arial" w:cs="Arial"/>
          <w:b/>
        </w:rPr>
      </w:pPr>
      <w:r>
        <w:rPr>
          <w:rFonts w:ascii="Arial" w:hAnsi="Arial" w:cs="Arial"/>
          <w:b/>
        </w:rPr>
        <w:t>Observa-se ainda que</w:t>
      </w:r>
      <w:r w:rsidR="00ED0B7B">
        <w:rPr>
          <w:rFonts w:ascii="Arial" w:hAnsi="Arial" w:cs="Arial"/>
          <w:b/>
        </w:rPr>
        <w:t>,</w:t>
      </w:r>
      <w:r>
        <w:rPr>
          <w:rFonts w:ascii="Arial" w:hAnsi="Arial" w:cs="Arial"/>
          <w:b/>
        </w:rPr>
        <w:t xml:space="preserve"> uma vez celebrado esses contratos, o que se</w:t>
      </w:r>
      <w:r w:rsidR="00A77AED">
        <w:rPr>
          <w:rFonts w:ascii="Arial" w:hAnsi="Arial" w:cs="Arial"/>
          <w:b/>
        </w:rPr>
        <w:t xml:space="preserve"> </w:t>
      </w:r>
      <w:r w:rsidR="00BF06EF">
        <w:rPr>
          <w:rFonts w:ascii="Arial" w:hAnsi="Arial" w:cs="Arial"/>
          <w:b/>
        </w:rPr>
        <w:t xml:space="preserve">cria é uma verdadeira relação de </w:t>
      </w:r>
      <w:r>
        <w:rPr>
          <w:rFonts w:ascii="Arial" w:hAnsi="Arial" w:cs="Arial"/>
          <w:b/>
        </w:rPr>
        <w:t xml:space="preserve">monopólio entre a distribuidora e o revendedor, </w:t>
      </w:r>
      <w:r w:rsidR="00BF06EF">
        <w:rPr>
          <w:rFonts w:ascii="Arial" w:hAnsi="Arial" w:cs="Arial"/>
          <w:b/>
        </w:rPr>
        <w:t>uma vez que tais contratos</w:t>
      </w:r>
      <w:r w:rsidR="000F2315">
        <w:rPr>
          <w:rFonts w:ascii="Arial" w:hAnsi="Arial" w:cs="Arial"/>
          <w:b/>
        </w:rPr>
        <w:t>, além de garantirem uma reserva de mercado às distribuidoras bandeiradas por longos períodos,</w:t>
      </w:r>
      <w:r w:rsidR="00BF06EF">
        <w:rPr>
          <w:rFonts w:ascii="Arial" w:hAnsi="Arial" w:cs="Arial"/>
          <w:b/>
        </w:rPr>
        <w:t xml:space="preserve"> não definem o </w:t>
      </w:r>
      <w:r>
        <w:rPr>
          <w:rFonts w:ascii="Arial" w:hAnsi="Arial" w:cs="Arial"/>
          <w:b/>
        </w:rPr>
        <w:t xml:space="preserve">preço </w:t>
      </w:r>
      <w:r w:rsidR="00BF06EF">
        <w:rPr>
          <w:rFonts w:ascii="Arial" w:hAnsi="Arial" w:cs="Arial"/>
          <w:b/>
        </w:rPr>
        <w:t xml:space="preserve">que será pago pelo revendedor </w:t>
      </w:r>
      <w:r w:rsidR="0099789F">
        <w:rPr>
          <w:rFonts w:ascii="Arial" w:hAnsi="Arial" w:cs="Arial"/>
          <w:b/>
        </w:rPr>
        <w:t>ao</w:t>
      </w:r>
      <w:r w:rsidR="00BF06EF">
        <w:rPr>
          <w:rFonts w:ascii="Arial" w:hAnsi="Arial" w:cs="Arial"/>
          <w:b/>
        </w:rPr>
        <w:t xml:space="preserve"> varejista</w:t>
      </w:r>
      <w:r w:rsidR="009B34E6">
        <w:rPr>
          <w:rFonts w:ascii="Arial" w:hAnsi="Arial" w:cs="Arial"/>
          <w:b/>
        </w:rPr>
        <w:t xml:space="preserve">. </w:t>
      </w:r>
    </w:p>
    <w:p w:rsidR="009B34E6" w:rsidRDefault="009B34E6" w:rsidP="009B34E6">
      <w:pPr>
        <w:ind w:firstLine="708"/>
        <w:jc w:val="both"/>
        <w:rPr>
          <w:rFonts w:ascii="Arial" w:hAnsi="Arial" w:cs="Arial"/>
          <w:b/>
        </w:rPr>
      </w:pPr>
    </w:p>
    <w:p w:rsidR="00462D04" w:rsidRPr="009B34E6" w:rsidRDefault="009B34E6" w:rsidP="009B34E6">
      <w:pPr>
        <w:ind w:firstLine="708"/>
        <w:jc w:val="both"/>
        <w:rPr>
          <w:rFonts w:ascii="Arial" w:hAnsi="Arial" w:cs="Arial"/>
          <w:b/>
        </w:rPr>
      </w:pPr>
      <w:r>
        <w:rPr>
          <w:rFonts w:ascii="Arial" w:hAnsi="Arial" w:cs="Arial"/>
          <w:b/>
        </w:rPr>
        <w:t>S</w:t>
      </w:r>
      <w:r w:rsidR="000F2315">
        <w:rPr>
          <w:rFonts w:ascii="Arial" w:hAnsi="Arial" w:cs="Arial"/>
          <w:b/>
        </w:rPr>
        <w:t>egundo destacado pel</w:t>
      </w:r>
      <w:r>
        <w:rPr>
          <w:rFonts w:ascii="Arial" w:hAnsi="Arial" w:cs="Arial"/>
          <w:b/>
        </w:rPr>
        <w:t xml:space="preserve">a i. Superintendência-Geral </w:t>
      </w:r>
      <w:r w:rsidR="0099789F">
        <w:rPr>
          <w:rFonts w:ascii="Arial" w:hAnsi="Arial" w:cs="Arial"/>
          <w:b/>
        </w:rPr>
        <w:t>do</w:t>
      </w:r>
      <w:r w:rsidR="00151961">
        <w:rPr>
          <w:rFonts w:ascii="Arial" w:hAnsi="Arial" w:cs="Arial"/>
          <w:b/>
        </w:rPr>
        <w:t xml:space="preserve"> Conselho Administrativo de Defesa Econômica</w:t>
      </w:r>
      <w:r w:rsidR="00FF44CA">
        <w:rPr>
          <w:rFonts w:ascii="Arial" w:hAnsi="Arial" w:cs="Arial"/>
          <w:b/>
        </w:rPr>
        <w:t xml:space="preserve"> </w:t>
      </w:r>
      <w:r w:rsidR="0099789F">
        <w:rPr>
          <w:rFonts w:ascii="Arial" w:hAnsi="Arial" w:cs="Arial"/>
          <w:b/>
        </w:rPr>
        <w:t xml:space="preserve">(“SG”) </w:t>
      </w:r>
      <w:r w:rsidR="00151961">
        <w:rPr>
          <w:rFonts w:ascii="Arial" w:hAnsi="Arial" w:cs="Arial"/>
          <w:b/>
        </w:rPr>
        <w:t>na análise do Ato de Concentração nº</w:t>
      </w:r>
      <w:r w:rsidR="00FF44CA">
        <w:rPr>
          <w:rFonts w:ascii="Arial" w:hAnsi="Arial" w:cs="Arial"/>
          <w:b/>
        </w:rPr>
        <w:t xml:space="preserve"> </w:t>
      </w:r>
      <w:r w:rsidR="0099789F">
        <w:rPr>
          <w:rFonts w:ascii="Arial" w:hAnsi="Arial" w:cs="Arial"/>
          <w:b/>
        </w:rPr>
        <w:t>08700.006444/2016-49 (“Caso Alesat / Ipiranga”</w:t>
      </w:r>
      <w:r w:rsidR="0099789F">
        <w:rPr>
          <w:rStyle w:val="Refdenotaderodap"/>
          <w:rFonts w:ascii="Arial" w:hAnsi="Arial" w:cs="Arial"/>
          <w:b/>
        </w:rPr>
        <w:footnoteReference w:id="11"/>
      </w:r>
      <w:r w:rsidR="0099789F">
        <w:rPr>
          <w:rFonts w:ascii="Arial" w:hAnsi="Arial" w:cs="Arial"/>
          <w:b/>
        </w:rPr>
        <w:t>)</w:t>
      </w:r>
      <w:r>
        <w:rPr>
          <w:rFonts w:ascii="Arial" w:hAnsi="Arial" w:cs="Arial"/>
          <w:b/>
        </w:rPr>
        <w:t xml:space="preserve"> os contratos de exclusividade </w:t>
      </w:r>
      <w:r w:rsidR="004A2F19">
        <w:rPr>
          <w:rFonts w:ascii="Arial" w:hAnsi="Arial" w:cs="Arial"/>
          <w:b/>
        </w:rPr>
        <w:t xml:space="preserve">causam uma “verticalização </w:t>
      </w:r>
      <w:r w:rsidR="004A2F19">
        <w:rPr>
          <w:rFonts w:ascii="Arial" w:hAnsi="Arial" w:cs="Arial"/>
          <w:b/>
          <w:i/>
        </w:rPr>
        <w:t>de facto</w:t>
      </w:r>
      <w:r w:rsidR="004A2F19">
        <w:rPr>
          <w:rFonts w:ascii="Arial" w:hAnsi="Arial" w:cs="Arial"/>
          <w:b/>
        </w:rPr>
        <w:t xml:space="preserve">”, o que </w:t>
      </w:r>
      <w:r w:rsidR="004A2F19">
        <w:rPr>
          <w:rFonts w:ascii="Arial" w:hAnsi="Arial" w:cs="Arial"/>
          <w:b/>
        </w:rPr>
        <w:lastRenderedPageBreak/>
        <w:t>acarreta problemas competitivos, conforme aponta o trecho transcrito abaixo de seu parecer</w:t>
      </w:r>
      <w:r w:rsidR="00FF44CA" w:rsidRPr="00A828BA">
        <w:rPr>
          <w:rFonts w:ascii="Arial" w:hAnsi="Arial" w:cs="Arial"/>
          <w:i/>
        </w:rPr>
        <w:t>, in verbis</w:t>
      </w:r>
      <w:r w:rsidR="00FF44CA" w:rsidRPr="00A828BA">
        <w:rPr>
          <w:rFonts w:ascii="Arial" w:hAnsi="Arial" w:cs="Arial"/>
        </w:rPr>
        <w:t>:</w:t>
      </w:r>
    </w:p>
    <w:p w:rsidR="00462D04" w:rsidRPr="0062658E" w:rsidRDefault="00462D04" w:rsidP="0062658E">
      <w:pPr>
        <w:ind w:left="1416" w:firstLine="708"/>
        <w:jc w:val="both"/>
        <w:rPr>
          <w:rFonts w:ascii="Arial" w:hAnsi="Arial" w:cs="Arial"/>
          <w:sz w:val="20"/>
          <w:szCs w:val="20"/>
        </w:rPr>
      </w:pPr>
    </w:p>
    <w:p w:rsidR="00FF44CA" w:rsidRPr="0062658E" w:rsidRDefault="00FF44CA" w:rsidP="0062658E">
      <w:pPr>
        <w:ind w:left="1416"/>
        <w:jc w:val="both"/>
        <w:rPr>
          <w:rFonts w:ascii="Arial" w:hAnsi="Arial" w:cs="Arial"/>
          <w:sz w:val="20"/>
          <w:szCs w:val="20"/>
        </w:rPr>
      </w:pPr>
      <w:r w:rsidRPr="0062658E">
        <w:rPr>
          <w:rFonts w:ascii="Arial" w:hAnsi="Arial" w:cs="Arial"/>
          <w:sz w:val="20"/>
          <w:szCs w:val="20"/>
        </w:rPr>
        <w:t>“</w:t>
      </w:r>
      <w:r w:rsidR="00F0667C" w:rsidRPr="0062658E">
        <w:rPr>
          <w:rFonts w:ascii="Arial" w:hAnsi="Arial" w:cs="Arial"/>
          <w:i/>
          <w:sz w:val="20"/>
          <w:szCs w:val="20"/>
        </w:rPr>
        <w:t xml:space="preserve">406. Buscando melhor efetivar sua capacidade de induzir a coordenação na revenda, as </w:t>
      </w:r>
      <w:r w:rsidR="00F0667C" w:rsidRPr="003E4F98">
        <w:rPr>
          <w:rFonts w:ascii="Arial" w:hAnsi="Arial" w:cs="Arial"/>
          <w:b/>
          <w:i/>
          <w:sz w:val="20"/>
          <w:szCs w:val="20"/>
        </w:rPr>
        <w:t>grandes distribuidoras</w:t>
      </w:r>
      <w:r w:rsidR="00F0667C" w:rsidRPr="0062658E">
        <w:rPr>
          <w:rFonts w:ascii="Arial" w:hAnsi="Arial" w:cs="Arial"/>
          <w:i/>
          <w:sz w:val="20"/>
          <w:szCs w:val="20"/>
        </w:rPr>
        <w:t xml:space="preserve"> podem se valer do controle propiciado por seus </w:t>
      </w:r>
      <w:r w:rsidR="00F0667C" w:rsidRPr="003E4F98">
        <w:rPr>
          <w:rFonts w:ascii="Arial" w:hAnsi="Arial" w:cs="Arial"/>
          <w:b/>
          <w:i/>
          <w:sz w:val="20"/>
          <w:szCs w:val="20"/>
        </w:rPr>
        <w:t>contratos de embandeiramento</w:t>
      </w:r>
      <w:r w:rsidR="00F0667C" w:rsidRPr="0062658E">
        <w:rPr>
          <w:rFonts w:ascii="Arial" w:hAnsi="Arial" w:cs="Arial"/>
          <w:i/>
          <w:sz w:val="20"/>
          <w:szCs w:val="20"/>
        </w:rPr>
        <w:t xml:space="preserve"> para </w:t>
      </w:r>
      <w:r w:rsidR="00F0667C" w:rsidRPr="0062658E">
        <w:rPr>
          <w:rFonts w:ascii="Arial" w:hAnsi="Arial" w:cs="Arial"/>
          <w:b/>
          <w:i/>
          <w:sz w:val="20"/>
          <w:szCs w:val="20"/>
        </w:rPr>
        <w:t>reforçar substancialmente o alinhamento de incentivos já previamente existente entre a distribuição e a revenda no sentido da cartelização do mercado</w:t>
      </w:r>
      <w:r w:rsidR="00F0667C" w:rsidRPr="0062658E">
        <w:rPr>
          <w:rFonts w:ascii="Arial" w:hAnsi="Arial" w:cs="Arial"/>
          <w:i/>
          <w:sz w:val="20"/>
          <w:szCs w:val="20"/>
        </w:rPr>
        <w:t>.</w:t>
      </w:r>
      <w:r w:rsidR="00F103ED" w:rsidRPr="0062658E">
        <w:rPr>
          <w:rFonts w:ascii="Arial" w:hAnsi="Arial" w:cs="Arial"/>
          <w:i/>
          <w:sz w:val="20"/>
          <w:szCs w:val="20"/>
        </w:rPr>
        <w:t xml:space="preserve"> </w:t>
      </w:r>
      <w:r w:rsidR="00F0667C" w:rsidRPr="0062658E">
        <w:rPr>
          <w:rFonts w:ascii="Arial" w:hAnsi="Arial" w:cs="Arial"/>
          <w:i/>
          <w:sz w:val="20"/>
          <w:szCs w:val="20"/>
        </w:rPr>
        <w:t xml:space="preserve">A </w:t>
      </w:r>
      <w:r w:rsidR="00F0667C" w:rsidRPr="0062658E">
        <w:rPr>
          <w:rFonts w:ascii="Arial" w:hAnsi="Arial" w:cs="Arial"/>
          <w:b/>
          <w:i/>
          <w:sz w:val="20"/>
          <w:szCs w:val="20"/>
        </w:rPr>
        <w:t xml:space="preserve">fidelização e a </w:t>
      </w:r>
      <w:r w:rsidR="00F0667C" w:rsidRPr="00A828BA">
        <w:rPr>
          <w:rFonts w:ascii="Arial" w:hAnsi="Arial" w:cs="Arial"/>
          <w:b/>
          <w:i/>
          <w:sz w:val="20"/>
          <w:szCs w:val="20"/>
          <w:u w:val="single"/>
        </w:rPr>
        <w:t>verticalização de fato</w:t>
      </w:r>
      <w:r w:rsidR="00F0667C" w:rsidRPr="0062658E">
        <w:rPr>
          <w:rFonts w:ascii="Arial" w:hAnsi="Arial" w:cs="Arial"/>
          <w:b/>
          <w:i/>
          <w:sz w:val="20"/>
          <w:szCs w:val="20"/>
        </w:rPr>
        <w:t xml:space="preserve"> causadas pelo </w:t>
      </w:r>
      <w:r w:rsidR="00F0667C" w:rsidRPr="00A828BA">
        <w:rPr>
          <w:rFonts w:ascii="Arial" w:hAnsi="Arial" w:cs="Arial"/>
          <w:b/>
          <w:i/>
          <w:sz w:val="20"/>
          <w:szCs w:val="20"/>
          <w:u w:val="single"/>
        </w:rPr>
        <w:t>embandeiramento</w:t>
      </w:r>
      <w:r w:rsidR="00F0667C" w:rsidRPr="0062658E">
        <w:rPr>
          <w:rFonts w:ascii="Arial" w:hAnsi="Arial" w:cs="Arial"/>
          <w:i/>
          <w:sz w:val="20"/>
          <w:szCs w:val="20"/>
        </w:rPr>
        <w:t xml:space="preserve"> permitem </w:t>
      </w:r>
      <w:r w:rsidR="00F0667C" w:rsidRPr="0062658E">
        <w:rPr>
          <w:rFonts w:ascii="Arial" w:hAnsi="Arial" w:cs="Arial"/>
          <w:b/>
          <w:i/>
          <w:sz w:val="20"/>
          <w:szCs w:val="20"/>
        </w:rPr>
        <w:t>também aumentar a fragilização dos postos e, com isso, a capacidade da distribuidora de capturar margem a jusante</w:t>
      </w:r>
      <w:r w:rsidR="00F0667C" w:rsidRPr="0062658E">
        <w:rPr>
          <w:rFonts w:ascii="Arial" w:hAnsi="Arial" w:cs="Arial"/>
          <w:i/>
          <w:sz w:val="20"/>
          <w:szCs w:val="20"/>
        </w:rPr>
        <w:t xml:space="preserve">. Nas seções anteriores do presente parecer, já se ressaltaram </w:t>
      </w:r>
      <w:r w:rsidR="00F0667C" w:rsidRPr="0062658E">
        <w:rPr>
          <w:rFonts w:ascii="Arial" w:hAnsi="Arial" w:cs="Arial"/>
          <w:b/>
          <w:i/>
          <w:sz w:val="20"/>
          <w:szCs w:val="20"/>
        </w:rPr>
        <w:t xml:space="preserve">algumas características dos contratos de embandeiramento que </w:t>
      </w:r>
      <w:r w:rsidR="00F0667C" w:rsidRPr="0062658E">
        <w:rPr>
          <w:rFonts w:ascii="Arial" w:hAnsi="Arial" w:cs="Arial"/>
          <w:b/>
          <w:i/>
          <w:sz w:val="20"/>
          <w:szCs w:val="20"/>
          <w:u w:val="single"/>
        </w:rPr>
        <w:t>majoram a elevada assimetria</w:t>
      </w:r>
      <w:r w:rsidR="00F0667C" w:rsidRPr="0062658E">
        <w:rPr>
          <w:rFonts w:ascii="Arial" w:hAnsi="Arial" w:cs="Arial"/>
          <w:b/>
          <w:sz w:val="20"/>
          <w:szCs w:val="20"/>
        </w:rPr>
        <w:t xml:space="preserve"> </w:t>
      </w:r>
      <w:r w:rsidR="00F0667C" w:rsidRPr="0062658E">
        <w:rPr>
          <w:rFonts w:ascii="Arial" w:hAnsi="Arial" w:cs="Arial"/>
          <w:b/>
          <w:i/>
          <w:sz w:val="20"/>
          <w:szCs w:val="20"/>
        </w:rPr>
        <w:t xml:space="preserve">que caracteriza </w:t>
      </w:r>
      <w:r w:rsidR="00F0667C" w:rsidRPr="0062658E">
        <w:rPr>
          <w:rFonts w:ascii="Arial" w:hAnsi="Arial" w:cs="Arial"/>
          <w:b/>
          <w:i/>
          <w:sz w:val="20"/>
          <w:szCs w:val="20"/>
          <w:u w:val="single"/>
        </w:rPr>
        <w:t>a relação entre distribuidora e posto</w:t>
      </w:r>
      <w:r w:rsidR="00F0667C" w:rsidRPr="0062658E">
        <w:rPr>
          <w:rFonts w:ascii="Arial" w:hAnsi="Arial" w:cs="Arial"/>
          <w:b/>
          <w:i/>
          <w:sz w:val="20"/>
          <w:szCs w:val="20"/>
        </w:rPr>
        <w:t xml:space="preserve">. Com </w:t>
      </w:r>
      <w:r w:rsidR="00F0667C" w:rsidRPr="0062658E">
        <w:rPr>
          <w:rFonts w:ascii="Arial" w:hAnsi="Arial" w:cs="Arial"/>
          <w:b/>
          <w:i/>
          <w:sz w:val="20"/>
          <w:szCs w:val="20"/>
          <w:u w:val="single"/>
        </w:rPr>
        <w:t>multas de rescisão proibitivas aos postos</w:t>
      </w:r>
      <w:r w:rsidR="00F0667C" w:rsidRPr="0062658E">
        <w:rPr>
          <w:rFonts w:ascii="Arial" w:hAnsi="Arial" w:cs="Arial"/>
          <w:b/>
          <w:i/>
          <w:sz w:val="20"/>
          <w:szCs w:val="20"/>
        </w:rPr>
        <w:t xml:space="preserve">, os contratos duram, em média, de </w:t>
      </w:r>
      <w:r w:rsidR="00F0667C" w:rsidRPr="0062658E">
        <w:rPr>
          <w:rFonts w:ascii="Arial" w:hAnsi="Arial" w:cs="Arial"/>
          <w:b/>
          <w:i/>
          <w:sz w:val="20"/>
          <w:szCs w:val="20"/>
          <w:u w:val="single"/>
        </w:rPr>
        <w:t>quatro a cinco anos</w:t>
      </w:r>
      <w:r w:rsidR="00F0667C" w:rsidRPr="0062658E">
        <w:rPr>
          <w:rFonts w:ascii="Arial" w:hAnsi="Arial" w:cs="Arial"/>
          <w:b/>
          <w:i/>
          <w:sz w:val="20"/>
          <w:szCs w:val="20"/>
        </w:rPr>
        <w:t xml:space="preserve">, havendo casos em que duram até </w:t>
      </w:r>
      <w:r w:rsidR="00F0667C" w:rsidRPr="0062658E">
        <w:rPr>
          <w:rFonts w:ascii="Arial" w:hAnsi="Arial" w:cs="Arial"/>
          <w:b/>
          <w:i/>
          <w:sz w:val="20"/>
          <w:szCs w:val="20"/>
          <w:u w:val="single"/>
        </w:rPr>
        <w:t>dez anos</w:t>
      </w:r>
      <w:r w:rsidR="00F0667C" w:rsidRPr="0062658E">
        <w:rPr>
          <w:rFonts w:ascii="Arial" w:hAnsi="Arial" w:cs="Arial"/>
          <w:b/>
          <w:i/>
          <w:sz w:val="20"/>
          <w:szCs w:val="20"/>
        </w:rPr>
        <w:t xml:space="preserve">, e incluem </w:t>
      </w:r>
      <w:r w:rsidR="00F0667C" w:rsidRPr="0062658E">
        <w:rPr>
          <w:rFonts w:ascii="Arial" w:hAnsi="Arial" w:cs="Arial"/>
          <w:b/>
          <w:i/>
          <w:sz w:val="20"/>
          <w:szCs w:val="20"/>
          <w:u w:val="single"/>
        </w:rPr>
        <w:t>cláusulas de exclusividade e de volume mínimo a ser vendido pelo posto</w:t>
      </w:r>
      <w:r w:rsidR="00F0667C" w:rsidRPr="0062658E">
        <w:rPr>
          <w:rFonts w:ascii="Arial" w:hAnsi="Arial" w:cs="Arial"/>
          <w:b/>
          <w:i/>
          <w:sz w:val="20"/>
          <w:szCs w:val="20"/>
        </w:rPr>
        <w:t xml:space="preserve">. </w:t>
      </w:r>
      <w:r w:rsidR="00F0667C" w:rsidRPr="0062658E">
        <w:rPr>
          <w:rFonts w:ascii="Arial" w:hAnsi="Arial" w:cs="Arial"/>
          <w:b/>
          <w:i/>
          <w:sz w:val="20"/>
          <w:szCs w:val="20"/>
          <w:u w:val="single"/>
        </w:rPr>
        <w:t>Mas</w:t>
      </w:r>
      <w:r w:rsidR="00F0667C" w:rsidRPr="0062658E">
        <w:rPr>
          <w:rFonts w:ascii="Arial" w:hAnsi="Arial" w:cs="Arial"/>
          <w:b/>
          <w:i/>
          <w:sz w:val="20"/>
          <w:szCs w:val="20"/>
        </w:rPr>
        <w:t xml:space="preserve"> o </w:t>
      </w:r>
      <w:r w:rsidR="00F0667C" w:rsidRPr="0062658E">
        <w:rPr>
          <w:rFonts w:ascii="Arial" w:hAnsi="Arial" w:cs="Arial"/>
          <w:b/>
          <w:i/>
          <w:sz w:val="20"/>
          <w:szCs w:val="20"/>
          <w:u w:val="single"/>
        </w:rPr>
        <w:t>preço é livre</w:t>
      </w:r>
      <w:r w:rsidR="00F0667C" w:rsidRPr="0062658E">
        <w:rPr>
          <w:rFonts w:ascii="Arial" w:hAnsi="Arial" w:cs="Arial"/>
          <w:b/>
          <w:i/>
          <w:sz w:val="20"/>
          <w:szCs w:val="20"/>
        </w:rPr>
        <w:t xml:space="preserve"> – ou seja, </w:t>
      </w:r>
      <w:r w:rsidR="00F0667C" w:rsidRPr="0062658E">
        <w:rPr>
          <w:rFonts w:ascii="Arial" w:hAnsi="Arial" w:cs="Arial"/>
          <w:b/>
          <w:i/>
          <w:sz w:val="20"/>
          <w:szCs w:val="20"/>
          <w:u w:val="single"/>
        </w:rPr>
        <w:t>o posto se vê obrigado a negociar preço diuturnamente com a distribuidora sem nenhuma possibilidade de recorrer a fornecimento alternativo no mercado</w:t>
      </w:r>
      <w:r w:rsidR="00F0667C" w:rsidRPr="0062658E">
        <w:rPr>
          <w:rFonts w:ascii="Arial" w:hAnsi="Arial" w:cs="Arial"/>
          <w:b/>
          <w:i/>
          <w:sz w:val="20"/>
          <w:szCs w:val="20"/>
        </w:rPr>
        <w:t xml:space="preserve">, mesmo estando obrigado a dar vazão a um </w:t>
      </w:r>
      <w:r w:rsidR="00F0667C" w:rsidRPr="0062658E">
        <w:rPr>
          <w:rFonts w:ascii="Arial" w:hAnsi="Arial" w:cs="Arial"/>
          <w:b/>
          <w:i/>
          <w:sz w:val="20"/>
          <w:szCs w:val="20"/>
          <w:u w:val="single"/>
        </w:rPr>
        <w:t>volume mínimo</w:t>
      </w:r>
      <w:r w:rsidR="00F0667C" w:rsidRPr="0062658E">
        <w:rPr>
          <w:rFonts w:ascii="Arial" w:hAnsi="Arial" w:cs="Arial"/>
          <w:b/>
          <w:i/>
          <w:sz w:val="20"/>
          <w:szCs w:val="20"/>
        </w:rPr>
        <w:t xml:space="preserve">. Com isso, </w:t>
      </w:r>
      <w:r w:rsidR="00F0667C" w:rsidRPr="0062658E">
        <w:rPr>
          <w:rFonts w:ascii="Arial" w:hAnsi="Arial" w:cs="Arial"/>
          <w:b/>
          <w:i/>
          <w:sz w:val="20"/>
          <w:szCs w:val="20"/>
          <w:u w:val="single"/>
        </w:rPr>
        <w:t xml:space="preserve">a distribuidora pode favorecer seus postos mais </w:t>
      </w:r>
      <w:r w:rsidR="00BC04F1" w:rsidRPr="0062658E">
        <w:rPr>
          <w:rFonts w:ascii="Arial" w:hAnsi="Arial" w:cs="Arial"/>
          <w:b/>
          <w:i/>
          <w:sz w:val="20"/>
          <w:szCs w:val="20"/>
          <w:u w:val="single"/>
        </w:rPr>
        <w:t>‘</w:t>
      </w:r>
      <w:r w:rsidR="00F0667C" w:rsidRPr="0062658E">
        <w:rPr>
          <w:rFonts w:ascii="Arial" w:hAnsi="Arial" w:cs="Arial"/>
          <w:b/>
          <w:i/>
          <w:sz w:val="20"/>
          <w:szCs w:val="20"/>
          <w:u w:val="single"/>
        </w:rPr>
        <w:t>comportados</w:t>
      </w:r>
      <w:r w:rsidR="00BC04F1" w:rsidRPr="0062658E">
        <w:rPr>
          <w:rFonts w:ascii="Arial" w:hAnsi="Arial" w:cs="Arial"/>
          <w:b/>
          <w:i/>
          <w:sz w:val="20"/>
          <w:szCs w:val="20"/>
          <w:u w:val="single"/>
        </w:rPr>
        <w:t>’</w:t>
      </w:r>
      <w:r w:rsidR="00F0667C" w:rsidRPr="0062658E">
        <w:rPr>
          <w:rFonts w:ascii="Arial" w:hAnsi="Arial" w:cs="Arial"/>
          <w:b/>
          <w:i/>
          <w:sz w:val="20"/>
          <w:szCs w:val="20"/>
          <w:u w:val="single"/>
        </w:rPr>
        <w:t xml:space="preserve"> e retaliar os postos desviantes de uma mesma região</w:t>
      </w:r>
      <w:r w:rsidR="00F0667C" w:rsidRPr="0062658E">
        <w:rPr>
          <w:rFonts w:ascii="Arial" w:hAnsi="Arial" w:cs="Arial"/>
          <w:sz w:val="20"/>
          <w:szCs w:val="20"/>
        </w:rPr>
        <w:t xml:space="preserve">”. </w:t>
      </w:r>
      <w:r w:rsidR="00AB1C2F" w:rsidRPr="0062658E">
        <w:rPr>
          <w:rFonts w:ascii="Arial" w:hAnsi="Arial" w:cs="Arial"/>
          <w:sz w:val="20"/>
          <w:szCs w:val="20"/>
        </w:rPr>
        <w:t>(</w:t>
      </w:r>
      <w:r w:rsidR="00B734E4" w:rsidRPr="0062658E">
        <w:rPr>
          <w:rFonts w:ascii="Arial" w:hAnsi="Arial" w:cs="Arial"/>
          <w:sz w:val="20"/>
          <w:szCs w:val="20"/>
        </w:rPr>
        <w:t>Destacamos</w:t>
      </w:r>
      <w:r w:rsidR="00AB1C2F" w:rsidRPr="0062658E">
        <w:rPr>
          <w:rFonts w:ascii="Arial" w:hAnsi="Arial" w:cs="Arial"/>
          <w:sz w:val="20"/>
          <w:szCs w:val="20"/>
        </w:rPr>
        <w:t xml:space="preserve">, p. </w:t>
      </w:r>
      <w:r w:rsidR="00F0667C" w:rsidRPr="0062658E">
        <w:rPr>
          <w:rFonts w:ascii="Arial" w:hAnsi="Arial" w:cs="Arial"/>
          <w:sz w:val="20"/>
          <w:szCs w:val="20"/>
        </w:rPr>
        <w:t>66</w:t>
      </w:r>
      <w:r w:rsidR="00AB1C2F" w:rsidRPr="0062658E">
        <w:rPr>
          <w:rFonts w:ascii="Arial" w:hAnsi="Arial" w:cs="Arial"/>
          <w:sz w:val="20"/>
          <w:szCs w:val="20"/>
        </w:rPr>
        <w:t xml:space="preserve"> da </w:t>
      </w:r>
      <w:r w:rsidR="00F0667C" w:rsidRPr="0062658E">
        <w:rPr>
          <w:rFonts w:ascii="Arial" w:hAnsi="Arial" w:cs="Arial"/>
          <w:sz w:val="20"/>
          <w:szCs w:val="20"/>
        </w:rPr>
        <w:t>Parecer</w:t>
      </w:r>
      <w:r w:rsidR="00AB1C2F" w:rsidRPr="0062658E">
        <w:rPr>
          <w:rFonts w:ascii="Arial" w:hAnsi="Arial" w:cs="Arial"/>
          <w:sz w:val="20"/>
          <w:szCs w:val="20"/>
        </w:rPr>
        <w:t xml:space="preserve"> nº</w:t>
      </w:r>
      <w:r w:rsidR="00F0667C" w:rsidRPr="0062658E">
        <w:rPr>
          <w:rFonts w:ascii="Arial" w:hAnsi="Arial" w:cs="Arial"/>
          <w:sz w:val="20"/>
          <w:szCs w:val="20"/>
        </w:rPr>
        <w:t xml:space="preserve"> 1/2017/CGAA4/SGA1/SG – SEI 0297660</w:t>
      </w:r>
      <w:r w:rsidR="00F0667C" w:rsidRPr="0062658E">
        <w:rPr>
          <w:rStyle w:val="Refdenotaderodap"/>
          <w:rFonts w:ascii="Arial" w:hAnsi="Arial" w:cs="Arial"/>
          <w:sz w:val="20"/>
          <w:szCs w:val="20"/>
        </w:rPr>
        <w:footnoteReference w:id="12"/>
      </w:r>
      <w:r w:rsidR="00AB1C2F" w:rsidRPr="0062658E">
        <w:rPr>
          <w:rFonts w:ascii="Arial" w:hAnsi="Arial" w:cs="Arial"/>
          <w:sz w:val="20"/>
          <w:szCs w:val="20"/>
        </w:rPr>
        <w:t xml:space="preserve">) </w:t>
      </w:r>
    </w:p>
    <w:p w:rsidR="00FF44CA" w:rsidRDefault="00FF44CA" w:rsidP="00E93AC7">
      <w:pPr>
        <w:ind w:firstLine="708"/>
        <w:jc w:val="both"/>
        <w:rPr>
          <w:rFonts w:ascii="Arial" w:hAnsi="Arial" w:cs="Arial"/>
        </w:rPr>
      </w:pPr>
    </w:p>
    <w:p w:rsidR="001E6E11" w:rsidRDefault="00ED0B7B" w:rsidP="0073213C">
      <w:pPr>
        <w:ind w:firstLine="708"/>
        <w:jc w:val="both"/>
        <w:rPr>
          <w:rFonts w:ascii="Arial" w:hAnsi="Arial" w:cs="Arial"/>
        </w:rPr>
      </w:pPr>
      <w:r>
        <w:rPr>
          <w:rFonts w:ascii="Arial" w:hAnsi="Arial" w:cs="Arial"/>
        </w:rPr>
        <w:t xml:space="preserve">Note-se ainda que a i. SG </w:t>
      </w:r>
      <w:r w:rsidR="004A2F19">
        <w:rPr>
          <w:rFonts w:ascii="Arial" w:hAnsi="Arial" w:cs="Arial"/>
        </w:rPr>
        <w:t xml:space="preserve">também </w:t>
      </w:r>
      <w:r>
        <w:rPr>
          <w:rFonts w:ascii="Arial" w:hAnsi="Arial" w:cs="Arial"/>
        </w:rPr>
        <w:t xml:space="preserve">apontou </w:t>
      </w:r>
      <w:r w:rsidR="004D68E9">
        <w:rPr>
          <w:rFonts w:ascii="Arial" w:hAnsi="Arial" w:cs="Arial"/>
        </w:rPr>
        <w:t xml:space="preserve">nesse trecho de seu parecer </w:t>
      </w:r>
      <w:r>
        <w:rPr>
          <w:rFonts w:ascii="Arial" w:hAnsi="Arial" w:cs="Arial"/>
        </w:rPr>
        <w:t xml:space="preserve">que os referidos </w:t>
      </w:r>
      <w:r w:rsidRPr="004A2F19">
        <w:rPr>
          <w:rFonts w:ascii="Arial" w:hAnsi="Arial" w:cs="Arial"/>
          <w:b/>
        </w:rPr>
        <w:t>contratos de exclusividade</w:t>
      </w:r>
      <w:r>
        <w:rPr>
          <w:rFonts w:ascii="Arial" w:hAnsi="Arial" w:cs="Arial"/>
        </w:rPr>
        <w:t xml:space="preserve"> também são </w:t>
      </w:r>
      <w:r w:rsidRPr="004A2F19">
        <w:rPr>
          <w:rFonts w:ascii="Arial" w:hAnsi="Arial" w:cs="Arial"/>
          <w:b/>
        </w:rPr>
        <w:t>indutores de cartel</w:t>
      </w:r>
      <w:r w:rsidR="004D68E9">
        <w:rPr>
          <w:rFonts w:ascii="Arial" w:hAnsi="Arial" w:cs="Arial"/>
        </w:rPr>
        <w:t>, na medida em que “</w:t>
      </w:r>
      <w:r w:rsidR="004D68E9" w:rsidRPr="004D68E9">
        <w:rPr>
          <w:rFonts w:ascii="Arial" w:hAnsi="Arial" w:cs="Arial"/>
          <w:b/>
          <w:i/>
          <w:u w:val="single"/>
        </w:rPr>
        <w:t xml:space="preserve">a distribuidora pode favorecer seus postos mais </w:t>
      </w:r>
      <w:r w:rsidR="00BC04F1">
        <w:rPr>
          <w:rFonts w:ascii="Arial" w:hAnsi="Arial" w:cs="Arial"/>
          <w:b/>
          <w:i/>
          <w:u w:val="single"/>
        </w:rPr>
        <w:t>‘</w:t>
      </w:r>
      <w:r w:rsidR="004D68E9" w:rsidRPr="004D68E9">
        <w:rPr>
          <w:rFonts w:ascii="Arial" w:hAnsi="Arial" w:cs="Arial"/>
          <w:b/>
          <w:i/>
          <w:u w:val="single"/>
        </w:rPr>
        <w:t>comportados</w:t>
      </w:r>
      <w:r w:rsidR="00BC04F1">
        <w:rPr>
          <w:rFonts w:ascii="Arial" w:hAnsi="Arial" w:cs="Arial"/>
          <w:b/>
          <w:i/>
          <w:u w:val="single"/>
        </w:rPr>
        <w:t>’</w:t>
      </w:r>
      <w:r w:rsidR="004D68E9" w:rsidRPr="004D68E9">
        <w:rPr>
          <w:rFonts w:ascii="Arial" w:hAnsi="Arial" w:cs="Arial"/>
          <w:b/>
          <w:i/>
          <w:u w:val="single"/>
        </w:rPr>
        <w:t xml:space="preserve"> e retaliar os postos desviantes de uma mesma região</w:t>
      </w:r>
      <w:r w:rsidR="00BC04F1">
        <w:rPr>
          <w:rFonts w:ascii="Arial" w:hAnsi="Arial" w:cs="Arial"/>
          <w:u w:val="single"/>
        </w:rPr>
        <w:t>”</w:t>
      </w:r>
      <w:r w:rsidR="00BC04F1" w:rsidRPr="00BC04F1">
        <w:rPr>
          <w:rFonts w:ascii="Arial" w:hAnsi="Arial" w:cs="Arial"/>
        </w:rPr>
        <w:t>. Ou seja</w:t>
      </w:r>
      <w:r w:rsidR="00BC04F1">
        <w:rPr>
          <w:rFonts w:ascii="Arial" w:hAnsi="Arial" w:cs="Arial"/>
        </w:rPr>
        <w:t>, esta regra de embandeiramento e</w:t>
      </w:r>
      <w:r w:rsidR="0096479F">
        <w:rPr>
          <w:rFonts w:ascii="Arial" w:hAnsi="Arial" w:cs="Arial"/>
        </w:rPr>
        <w:t>,</w:t>
      </w:r>
      <w:r w:rsidR="00BC04F1">
        <w:rPr>
          <w:rFonts w:ascii="Arial" w:hAnsi="Arial" w:cs="Arial"/>
        </w:rPr>
        <w:t xml:space="preserve"> mais especificamente</w:t>
      </w:r>
      <w:r w:rsidR="0096479F">
        <w:rPr>
          <w:rFonts w:ascii="Arial" w:hAnsi="Arial" w:cs="Arial"/>
        </w:rPr>
        <w:t>,</w:t>
      </w:r>
      <w:r w:rsidR="00BC04F1">
        <w:rPr>
          <w:rFonts w:ascii="Arial" w:hAnsi="Arial" w:cs="Arial"/>
        </w:rPr>
        <w:t xml:space="preserve"> </w:t>
      </w:r>
      <w:r w:rsidR="0096479F">
        <w:rPr>
          <w:rFonts w:ascii="Arial" w:hAnsi="Arial" w:cs="Arial"/>
        </w:rPr>
        <w:t>a implementação de</w:t>
      </w:r>
      <w:r w:rsidR="00BC04F1">
        <w:rPr>
          <w:rFonts w:ascii="Arial" w:hAnsi="Arial" w:cs="Arial"/>
        </w:rPr>
        <w:t xml:space="preserve"> “contratos de exclusividade”</w:t>
      </w:r>
      <w:r w:rsidR="001E6E11">
        <w:rPr>
          <w:rFonts w:ascii="Arial" w:hAnsi="Arial" w:cs="Arial"/>
        </w:rPr>
        <w:t xml:space="preserve"> acaba</w:t>
      </w:r>
      <w:r w:rsidR="001570AE">
        <w:rPr>
          <w:rFonts w:ascii="Arial" w:hAnsi="Arial" w:cs="Arial"/>
        </w:rPr>
        <w:t>m</w:t>
      </w:r>
      <w:r w:rsidR="001E6E11">
        <w:rPr>
          <w:rFonts w:ascii="Arial" w:hAnsi="Arial" w:cs="Arial"/>
        </w:rPr>
        <w:t xml:space="preserve"> por elevar os preços dos combustíveis adquiridos pelos consumidores</w:t>
      </w:r>
      <w:r w:rsidR="001570AE">
        <w:rPr>
          <w:rFonts w:ascii="Arial" w:hAnsi="Arial" w:cs="Arial"/>
        </w:rPr>
        <w:t>, sem uma contrapartida de melhoria no controle da qualidade dos combustíveis ofertados</w:t>
      </w:r>
      <w:r w:rsidR="0096479F">
        <w:rPr>
          <w:rFonts w:ascii="Arial" w:hAnsi="Arial" w:cs="Arial"/>
        </w:rPr>
        <w:t xml:space="preserve"> pelos revendedores bandeirados aos consumidores finais</w:t>
      </w:r>
      <w:r w:rsidR="001E6E11">
        <w:rPr>
          <w:rFonts w:ascii="Arial" w:hAnsi="Arial" w:cs="Arial"/>
        </w:rPr>
        <w:t>.</w:t>
      </w:r>
    </w:p>
    <w:p w:rsidR="001E6E11" w:rsidRDefault="001E6E11" w:rsidP="0073213C">
      <w:pPr>
        <w:ind w:firstLine="708"/>
        <w:jc w:val="both"/>
        <w:rPr>
          <w:rFonts w:ascii="Arial" w:hAnsi="Arial" w:cs="Arial"/>
        </w:rPr>
      </w:pPr>
    </w:p>
    <w:p w:rsidR="0073213C" w:rsidRDefault="006D2E3B" w:rsidP="0073213C">
      <w:pPr>
        <w:ind w:firstLine="708"/>
        <w:jc w:val="both"/>
        <w:rPr>
          <w:rFonts w:ascii="Arial" w:hAnsi="Arial" w:cs="Arial"/>
        </w:rPr>
      </w:pPr>
      <w:r>
        <w:rPr>
          <w:rFonts w:ascii="Arial" w:hAnsi="Arial" w:cs="Arial"/>
        </w:rPr>
        <w:t>Retomando a análise da legislação infralegal sobre o embandeiramento, p</w:t>
      </w:r>
      <w:r w:rsidR="00AE1801" w:rsidRPr="00AE1801">
        <w:rPr>
          <w:rFonts w:ascii="Arial" w:hAnsi="Arial" w:cs="Arial"/>
        </w:rPr>
        <w:t>osteriormente, em 05 de novembro de 2013, a ANP editou a Resolução ANP nº 41/13; e, em 17 de outubro de</w:t>
      </w:r>
      <w:r w:rsidR="009F0284">
        <w:rPr>
          <w:rFonts w:ascii="Arial" w:hAnsi="Arial" w:cs="Arial"/>
        </w:rPr>
        <w:t xml:space="preserve"> 2014, a Resolução ANP nº 58/14. Essas duas Resoluções </w:t>
      </w:r>
      <w:r>
        <w:rPr>
          <w:rFonts w:ascii="Arial" w:hAnsi="Arial" w:cs="Arial"/>
        </w:rPr>
        <w:t xml:space="preserve">serviram para </w:t>
      </w:r>
      <w:r w:rsidR="00334ACE">
        <w:rPr>
          <w:rFonts w:ascii="Arial" w:hAnsi="Arial" w:cs="Arial"/>
        </w:rPr>
        <w:t xml:space="preserve">revisar, uniformizar e consolidar </w:t>
      </w:r>
      <w:r w:rsidR="00AE1801" w:rsidRPr="00AE1801">
        <w:rPr>
          <w:rFonts w:ascii="Arial" w:hAnsi="Arial" w:cs="Arial"/>
        </w:rPr>
        <w:t xml:space="preserve">as normas que regulavam, respectivamente, as atividades dos revendedores e distribuidores de combustíveis líquidos. </w:t>
      </w:r>
    </w:p>
    <w:p w:rsidR="0073213C" w:rsidRDefault="0073213C" w:rsidP="0073213C">
      <w:pPr>
        <w:ind w:firstLine="708"/>
        <w:jc w:val="both"/>
        <w:rPr>
          <w:rFonts w:ascii="Arial" w:hAnsi="Arial" w:cs="Arial"/>
        </w:rPr>
      </w:pPr>
    </w:p>
    <w:p w:rsidR="00AE1801" w:rsidRDefault="0073213C" w:rsidP="0073213C">
      <w:pPr>
        <w:ind w:firstLine="708"/>
        <w:jc w:val="both"/>
        <w:rPr>
          <w:rFonts w:ascii="Arial" w:hAnsi="Arial" w:cs="Arial"/>
        </w:rPr>
      </w:pPr>
      <w:r>
        <w:rPr>
          <w:rFonts w:ascii="Arial" w:hAnsi="Arial" w:cs="Arial"/>
        </w:rPr>
        <w:t>Em brevíssima síntese, e</w:t>
      </w:r>
      <w:r w:rsidR="00AE1801" w:rsidRPr="00AE1801">
        <w:rPr>
          <w:rFonts w:ascii="Arial" w:hAnsi="Arial" w:cs="Arial"/>
        </w:rPr>
        <w:t>ssas resoluções</w:t>
      </w:r>
      <w:r>
        <w:rPr>
          <w:rFonts w:ascii="Arial" w:hAnsi="Arial" w:cs="Arial"/>
        </w:rPr>
        <w:t xml:space="preserve"> trouxeram</w:t>
      </w:r>
      <w:r w:rsidR="00AE1801" w:rsidRPr="00AE1801">
        <w:rPr>
          <w:rFonts w:ascii="Arial" w:hAnsi="Arial" w:cs="Arial"/>
        </w:rPr>
        <w:t xml:space="preserve">, dentre outras previsões, </w:t>
      </w:r>
      <w:r>
        <w:rPr>
          <w:rFonts w:ascii="Arial" w:hAnsi="Arial" w:cs="Arial"/>
        </w:rPr>
        <w:t xml:space="preserve">a </w:t>
      </w:r>
      <w:r w:rsidRPr="0073213C">
        <w:rPr>
          <w:rFonts w:ascii="Arial" w:hAnsi="Arial" w:cs="Arial"/>
          <w:b/>
        </w:rPr>
        <w:t>manutenção</w:t>
      </w:r>
      <w:r w:rsidR="00AE1801" w:rsidRPr="0073213C">
        <w:rPr>
          <w:rFonts w:ascii="Arial" w:hAnsi="Arial" w:cs="Arial"/>
          <w:b/>
        </w:rPr>
        <w:t xml:space="preserve"> </w:t>
      </w:r>
      <w:r w:rsidRPr="0073213C">
        <w:rPr>
          <w:rFonts w:ascii="Arial" w:hAnsi="Arial" w:cs="Arial"/>
          <w:b/>
        </w:rPr>
        <w:t>d</w:t>
      </w:r>
      <w:r w:rsidR="00AE1801" w:rsidRPr="0073213C">
        <w:rPr>
          <w:rFonts w:ascii="Arial" w:hAnsi="Arial" w:cs="Arial"/>
          <w:b/>
        </w:rPr>
        <w:t>as regras que (a)</w:t>
      </w:r>
      <w:r>
        <w:rPr>
          <w:rFonts w:ascii="Arial" w:hAnsi="Arial" w:cs="Arial"/>
          <w:b/>
        </w:rPr>
        <w:t xml:space="preserve"> vedavam o revendedor-varejista</w:t>
      </w:r>
      <w:r w:rsidRPr="00AC15F4">
        <w:rPr>
          <w:rStyle w:val="Refdenotaderodap"/>
          <w:rFonts w:ascii="Times New Roman" w:hAnsi="Times New Roman" w:cs="Times New Roman"/>
          <w:b/>
        </w:rPr>
        <w:footnoteReference w:id="13"/>
      </w:r>
      <w:r w:rsidR="00AE1801" w:rsidRPr="0073213C">
        <w:rPr>
          <w:rFonts w:ascii="Arial" w:hAnsi="Arial" w:cs="Arial"/>
          <w:b/>
        </w:rPr>
        <w:t xml:space="preserve"> de adquirir de produtor e este de alienar àquele combustível de qualquer natureza; (b) vedavam o revendedor-varejista bandeirado de adquirir combustível de distribuidores sem-bandeira ou de outro distribuidor com bandeira que não fosse aquele com quem de</w:t>
      </w:r>
      <w:r w:rsidR="00262CFE">
        <w:rPr>
          <w:rFonts w:ascii="Arial" w:hAnsi="Arial" w:cs="Arial"/>
          <w:b/>
        </w:rPr>
        <w:t>t</w:t>
      </w:r>
      <w:r w:rsidR="00497B51">
        <w:rPr>
          <w:rFonts w:ascii="Arial" w:hAnsi="Arial" w:cs="Arial"/>
          <w:b/>
        </w:rPr>
        <w:t>ém</w:t>
      </w:r>
      <w:r w:rsidR="00262CFE">
        <w:rPr>
          <w:rFonts w:ascii="Arial" w:hAnsi="Arial" w:cs="Arial"/>
          <w:b/>
        </w:rPr>
        <w:t xml:space="preserve"> a relação </w:t>
      </w:r>
      <w:r w:rsidR="00262CFE">
        <w:rPr>
          <w:rFonts w:ascii="Arial" w:hAnsi="Arial" w:cs="Arial"/>
          <w:b/>
        </w:rPr>
        <w:lastRenderedPageBreak/>
        <w:t>de uso da marca</w:t>
      </w:r>
      <w:r w:rsidR="00262CFE" w:rsidRPr="00AC15F4">
        <w:rPr>
          <w:rStyle w:val="Refdenotaderodap"/>
          <w:rFonts w:ascii="Times New Roman" w:hAnsi="Times New Roman" w:cs="Times New Roman"/>
          <w:b/>
        </w:rPr>
        <w:footnoteReference w:id="14"/>
      </w:r>
      <w:r w:rsidR="00AE1801" w:rsidRPr="0073213C">
        <w:rPr>
          <w:rFonts w:ascii="Arial" w:hAnsi="Arial" w:cs="Arial"/>
          <w:b/>
        </w:rPr>
        <w:t>; (c) vedavam o distribuidor sem bandeira de comercializar combustível a qualquer revendedor-v</w:t>
      </w:r>
      <w:r>
        <w:rPr>
          <w:rFonts w:ascii="Arial" w:hAnsi="Arial" w:cs="Arial"/>
          <w:b/>
        </w:rPr>
        <w:t xml:space="preserve">arejista bandeirado; (d) </w:t>
      </w:r>
      <w:r w:rsidR="00AE1801" w:rsidRPr="0073213C">
        <w:rPr>
          <w:rFonts w:ascii="Arial" w:hAnsi="Arial" w:cs="Arial"/>
          <w:b/>
        </w:rPr>
        <w:t>vedavam o distribuidor bandeirado de vender combustível a revendedor-varejista de outra bandeira</w:t>
      </w:r>
      <w:r w:rsidRPr="00AC15F4">
        <w:rPr>
          <w:rStyle w:val="Refdenotaderodap"/>
          <w:rFonts w:ascii="Times New Roman" w:hAnsi="Times New Roman" w:cs="Times New Roman"/>
          <w:b/>
        </w:rPr>
        <w:footnoteReference w:id="15"/>
      </w:r>
      <w:r w:rsidR="00334ACE">
        <w:rPr>
          <w:rFonts w:ascii="Arial" w:hAnsi="Arial" w:cs="Arial"/>
        </w:rPr>
        <w:t xml:space="preserve">; </w:t>
      </w:r>
      <w:r w:rsidR="00334ACE" w:rsidRPr="00334ACE">
        <w:rPr>
          <w:rFonts w:ascii="Arial" w:hAnsi="Arial" w:cs="Arial"/>
          <w:b/>
        </w:rPr>
        <w:t>e, ainda,</w:t>
      </w:r>
      <w:r w:rsidR="00497B51" w:rsidRPr="00334ACE">
        <w:rPr>
          <w:rFonts w:ascii="Arial" w:hAnsi="Arial" w:cs="Arial"/>
          <w:b/>
        </w:rPr>
        <w:t xml:space="preserve"> </w:t>
      </w:r>
      <w:r w:rsidR="00334ACE" w:rsidRPr="00334ACE">
        <w:rPr>
          <w:rFonts w:ascii="Arial" w:hAnsi="Arial" w:cs="Arial"/>
          <w:b/>
        </w:rPr>
        <w:t xml:space="preserve">que </w:t>
      </w:r>
      <w:r w:rsidR="00262CFE" w:rsidRPr="00334ACE">
        <w:rPr>
          <w:rFonts w:ascii="Arial" w:hAnsi="Arial" w:cs="Arial"/>
          <w:b/>
        </w:rPr>
        <w:t xml:space="preserve">(e) </w:t>
      </w:r>
      <w:r w:rsidR="00497B51" w:rsidRPr="00334ACE">
        <w:rPr>
          <w:rFonts w:ascii="Arial" w:hAnsi="Arial" w:cs="Arial"/>
          <w:b/>
        </w:rPr>
        <w:t>vedava</w:t>
      </w:r>
      <w:r w:rsidR="00334ACE" w:rsidRPr="00334ACE">
        <w:rPr>
          <w:rFonts w:ascii="Arial" w:hAnsi="Arial" w:cs="Arial"/>
          <w:b/>
        </w:rPr>
        <w:t>m</w:t>
      </w:r>
      <w:r w:rsidR="00497B51" w:rsidRPr="00334ACE">
        <w:rPr>
          <w:rFonts w:ascii="Arial" w:hAnsi="Arial" w:cs="Arial"/>
          <w:b/>
        </w:rPr>
        <w:t xml:space="preserve"> </w:t>
      </w:r>
      <w:r w:rsidR="00AE1801" w:rsidRPr="00334ACE">
        <w:rPr>
          <w:rFonts w:ascii="Arial" w:hAnsi="Arial" w:cs="Arial"/>
          <w:b/>
        </w:rPr>
        <w:t xml:space="preserve">o distribuidor </w:t>
      </w:r>
      <w:r w:rsidR="00497B51" w:rsidRPr="00334ACE">
        <w:rPr>
          <w:rFonts w:ascii="Arial" w:hAnsi="Arial" w:cs="Arial"/>
          <w:b/>
        </w:rPr>
        <w:t xml:space="preserve">de </w:t>
      </w:r>
      <w:r w:rsidR="00AE1801" w:rsidRPr="00334ACE">
        <w:rPr>
          <w:rFonts w:ascii="Arial" w:hAnsi="Arial" w:cs="Arial"/>
          <w:b/>
        </w:rPr>
        <w:t>participar no quadro societário de revendedor-varejista, bem como de exercer diret</w:t>
      </w:r>
      <w:r w:rsidR="00262CFE" w:rsidRPr="00334ACE">
        <w:rPr>
          <w:rFonts w:ascii="Arial" w:hAnsi="Arial" w:cs="Arial"/>
          <w:b/>
        </w:rPr>
        <w:t>amente a atividade de revenda</w:t>
      </w:r>
      <w:r w:rsidR="00AE1801" w:rsidRPr="00AE1801">
        <w:rPr>
          <w:rFonts w:ascii="Arial" w:hAnsi="Arial" w:cs="Arial"/>
        </w:rPr>
        <w:t>.</w:t>
      </w:r>
    </w:p>
    <w:p w:rsidR="006F2DCC" w:rsidRDefault="006F2DCC" w:rsidP="00AC584B">
      <w:pPr>
        <w:jc w:val="both"/>
        <w:rPr>
          <w:rFonts w:ascii="Arial" w:hAnsi="Arial" w:cs="Arial"/>
        </w:rPr>
      </w:pPr>
    </w:p>
    <w:p w:rsidR="006F2DCC" w:rsidRDefault="00262CFE" w:rsidP="00AC584B">
      <w:pPr>
        <w:jc w:val="both"/>
        <w:rPr>
          <w:rFonts w:ascii="Arial" w:hAnsi="Arial" w:cs="Arial"/>
        </w:rPr>
      </w:pPr>
      <w:r w:rsidRPr="00262CFE">
        <w:rPr>
          <w:rFonts w:ascii="Arial" w:hAnsi="Arial" w:cs="Arial"/>
        </w:rPr>
        <w:tab/>
        <w:t>Com o objetivo de fundamentar e justificar a edição dessas</w:t>
      </w:r>
      <w:r w:rsidR="00C9492A">
        <w:rPr>
          <w:rFonts w:ascii="Arial" w:hAnsi="Arial" w:cs="Arial"/>
        </w:rPr>
        <w:t xml:space="preserve"> duas</w:t>
      </w:r>
      <w:r w:rsidRPr="00262CFE">
        <w:rPr>
          <w:rFonts w:ascii="Arial" w:hAnsi="Arial" w:cs="Arial"/>
        </w:rPr>
        <w:t xml:space="preserve"> resoluções, a ANP, por meio de sua Superintendência de Abastecimento (“SAB”), elaborou as Nota</w:t>
      </w:r>
      <w:r w:rsidR="008A0E02">
        <w:rPr>
          <w:rFonts w:ascii="Arial" w:hAnsi="Arial" w:cs="Arial"/>
        </w:rPr>
        <w:t>s</w:t>
      </w:r>
      <w:r w:rsidRPr="00262CFE">
        <w:rPr>
          <w:rFonts w:ascii="Arial" w:hAnsi="Arial" w:cs="Arial"/>
        </w:rPr>
        <w:t xml:space="preserve"> Técnicas nºs 366/SAB/12 e 40/SAB/13.</w:t>
      </w:r>
    </w:p>
    <w:p w:rsidR="00C9492A" w:rsidRDefault="00C9492A" w:rsidP="00AC584B">
      <w:pPr>
        <w:jc w:val="both"/>
        <w:rPr>
          <w:rFonts w:ascii="Arial" w:hAnsi="Arial" w:cs="Arial"/>
        </w:rPr>
      </w:pPr>
    </w:p>
    <w:p w:rsidR="00F8796D" w:rsidRDefault="00C9492A" w:rsidP="004E1D62">
      <w:pPr>
        <w:jc w:val="both"/>
        <w:rPr>
          <w:rFonts w:ascii="Arial" w:hAnsi="Arial" w:cs="Arial"/>
        </w:rPr>
      </w:pPr>
      <w:r>
        <w:rPr>
          <w:rFonts w:ascii="Arial" w:hAnsi="Arial" w:cs="Arial"/>
        </w:rPr>
        <w:tab/>
      </w:r>
      <w:r w:rsidR="00334ACE">
        <w:rPr>
          <w:rFonts w:ascii="Arial" w:hAnsi="Arial" w:cs="Arial"/>
        </w:rPr>
        <w:t>Especificamente em relação à Nota Técnica nº 366/SAB/12, c</w:t>
      </w:r>
      <w:r w:rsidR="001A2302">
        <w:rPr>
          <w:rFonts w:ascii="Arial" w:hAnsi="Arial" w:cs="Arial"/>
        </w:rPr>
        <w:t>hama</w:t>
      </w:r>
      <w:r w:rsidR="00697FA8">
        <w:rPr>
          <w:rFonts w:ascii="Arial" w:hAnsi="Arial" w:cs="Arial"/>
        </w:rPr>
        <w:t xml:space="preserve"> </w:t>
      </w:r>
      <w:r w:rsidR="001D5DD5">
        <w:rPr>
          <w:rFonts w:ascii="Arial" w:hAnsi="Arial" w:cs="Arial"/>
        </w:rPr>
        <w:t xml:space="preserve">novamente </w:t>
      </w:r>
      <w:r>
        <w:rPr>
          <w:rFonts w:ascii="Arial" w:hAnsi="Arial" w:cs="Arial"/>
        </w:rPr>
        <w:t>a atenção</w:t>
      </w:r>
      <w:r w:rsidR="00697FA8">
        <w:rPr>
          <w:rFonts w:ascii="Arial" w:hAnsi="Arial" w:cs="Arial"/>
        </w:rPr>
        <w:t xml:space="preserve"> a ausência de explicações e fundamentações específicas e pormenorizadas sobre a adoção do modelo de embandeiramento e </w:t>
      </w:r>
      <w:r w:rsidR="001D5DD5">
        <w:rPr>
          <w:rFonts w:ascii="Arial" w:hAnsi="Arial" w:cs="Arial"/>
        </w:rPr>
        <w:t xml:space="preserve">de </w:t>
      </w:r>
      <w:r w:rsidR="00697FA8">
        <w:rPr>
          <w:rFonts w:ascii="Arial" w:hAnsi="Arial" w:cs="Arial"/>
        </w:rPr>
        <w:t>todas as obrigaç</w:t>
      </w:r>
      <w:r w:rsidR="009F0284">
        <w:rPr>
          <w:rFonts w:ascii="Arial" w:hAnsi="Arial" w:cs="Arial"/>
        </w:rPr>
        <w:t>ões e vedações associadas a e</w:t>
      </w:r>
      <w:r w:rsidR="001D5DD5">
        <w:rPr>
          <w:rFonts w:ascii="Arial" w:hAnsi="Arial" w:cs="Arial"/>
        </w:rPr>
        <w:t>ste</w:t>
      </w:r>
      <w:r w:rsidR="009F0284">
        <w:rPr>
          <w:rFonts w:ascii="Arial" w:hAnsi="Arial" w:cs="Arial"/>
        </w:rPr>
        <w:t>. Observa-se</w:t>
      </w:r>
      <w:r w:rsidR="009A7122">
        <w:rPr>
          <w:rFonts w:ascii="Arial" w:hAnsi="Arial" w:cs="Arial"/>
        </w:rPr>
        <w:t>, ainda</w:t>
      </w:r>
      <w:r w:rsidR="00697FA8">
        <w:rPr>
          <w:rFonts w:ascii="Arial" w:hAnsi="Arial" w:cs="Arial"/>
        </w:rPr>
        <w:t xml:space="preserve">, </w:t>
      </w:r>
      <w:r w:rsidR="009F0284">
        <w:rPr>
          <w:rFonts w:ascii="Arial" w:hAnsi="Arial" w:cs="Arial"/>
        </w:rPr>
        <w:t xml:space="preserve">por um lado, </w:t>
      </w:r>
      <w:r w:rsidR="004E1D62">
        <w:rPr>
          <w:rFonts w:ascii="Arial" w:hAnsi="Arial" w:cs="Arial"/>
        </w:rPr>
        <w:t xml:space="preserve">a visão negativa da ANP em relação à criação </w:t>
      </w:r>
      <w:r w:rsidR="009F0284">
        <w:rPr>
          <w:rFonts w:ascii="Arial" w:hAnsi="Arial" w:cs="Arial"/>
        </w:rPr>
        <w:t xml:space="preserve">de um mercado “atomístico”; e, por outro, um incentivo à oligopolização </w:t>
      </w:r>
      <w:r w:rsidR="00A34095">
        <w:rPr>
          <w:rFonts w:ascii="Arial" w:hAnsi="Arial" w:cs="Arial"/>
        </w:rPr>
        <w:t>n</w:t>
      </w:r>
      <w:r w:rsidR="009F0284">
        <w:rPr>
          <w:rFonts w:ascii="Arial" w:hAnsi="Arial" w:cs="Arial"/>
        </w:rPr>
        <w:t>o elo da distribuição</w:t>
      </w:r>
      <w:r w:rsidR="004E1D62">
        <w:rPr>
          <w:rFonts w:ascii="Arial" w:hAnsi="Arial" w:cs="Arial"/>
        </w:rPr>
        <w:t>, conforme aponta o trecho transcrito abaixo:</w:t>
      </w:r>
      <w:r w:rsidR="00F8796D">
        <w:rPr>
          <w:rFonts w:ascii="Arial" w:hAnsi="Arial" w:cs="Arial"/>
        </w:rPr>
        <w:t xml:space="preserve"> </w:t>
      </w:r>
    </w:p>
    <w:p w:rsidR="00F8796D" w:rsidRPr="00545F33" w:rsidRDefault="00F8796D" w:rsidP="00545F33">
      <w:pPr>
        <w:jc w:val="both"/>
        <w:rPr>
          <w:rFonts w:ascii="Arial" w:hAnsi="Arial" w:cs="Arial"/>
          <w:sz w:val="20"/>
          <w:szCs w:val="20"/>
        </w:rPr>
      </w:pPr>
    </w:p>
    <w:p w:rsidR="00262CFE" w:rsidRDefault="00545F33" w:rsidP="00A828BA">
      <w:pPr>
        <w:ind w:left="1416"/>
        <w:jc w:val="both"/>
        <w:rPr>
          <w:rFonts w:ascii="Arial" w:hAnsi="Arial" w:cs="Arial"/>
          <w:i/>
          <w:sz w:val="20"/>
          <w:szCs w:val="20"/>
        </w:rPr>
      </w:pPr>
      <w:r w:rsidRPr="00545F33">
        <w:rPr>
          <w:rFonts w:ascii="Arial" w:hAnsi="Arial" w:cs="Arial"/>
          <w:sz w:val="20"/>
          <w:szCs w:val="20"/>
        </w:rPr>
        <w:t>“</w:t>
      </w:r>
      <w:r w:rsidRPr="00545F33">
        <w:rPr>
          <w:rFonts w:ascii="Arial" w:hAnsi="Arial" w:cs="Arial"/>
          <w:i/>
          <w:sz w:val="20"/>
          <w:szCs w:val="20"/>
        </w:rPr>
        <w:t>2.2</w:t>
      </w:r>
      <w:r>
        <w:rPr>
          <w:rFonts w:ascii="Arial" w:hAnsi="Arial" w:cs="Arial"/>
          <w:i/>
          <w:sz w:val="20"/>
          <w:szCs w:val="20"/>
        </w:rPr>
        <w:t>.</w:t>
      </w:r>
      <w:r w:rsidRPr="00545F33">
        <w:rPr>
          <w:rFonts w:ascii="Arial" w:hAnsi="Arial" w:cs="Arial"/>
          <w:i/>
          <w:sz w:val="20"/>
          <w:szCs w:val="20"/>
        </w:rPr>
        <w:t xml:space="preserve"> É importante notar que a </w:t>
      </w:r>
      <w:r w:rsidRPr="00545F33">
        <w:rPr>
          <w:rFonts w:ascii="Arial" w:hAnsi="Arial" w:cs="Arial"/>
          <w:b/>
          <w:i/>
          <w:sz w:val="20"/>
          <w:szCs w:val="20"/>
        </w:rPr>
        <w:t>ideia comumente associada à concorrência de que o parâmetro ideal de um mercado concorr</w:t>
      </w:r>
      <w:r w:rsidR="00A34095">
        <w:rPr>
          <w:rFonts w:ascii="Arial" w:hAnsi="Arial" w:cs="Arial"/>
          <w:b/>
          <w:i/>
          <w:sz w:val="20"/>
          <w:szCs w:val="20"/>
        </w:rPr>
        <w:t>e</w:t>
      </w:r>
      <w:r w:rsidRPr="00545F33">
        <w:rPr>
          <w:rFonts w:ascii="Arial" w:hAnsi="Arial" w:cs="Arial"/>
          <w:b/>
          <w:i/>
          <w:sz w:val="20"/>
          <w:szCs w:val="20"/>
        </w:rPr>
        <w:t>ncia</w:t>
      </w:r>
      <w:r w:rsidR="00A34095">
        <w:rPr>
          <w:rFonts w:ascii="Arial" w:hAnsi="Arial" w:cs="Arial"/>
          <w:b/>
          <w:i/>
          <w:sz w:val="20"/>
          <w:szCs w:val="20"/>
        </w:rPr>
        <w:t>l</w:t>
      </w:r>
      <w:r w:rsidRPr="00545F33">
        <w:rPr>
          <w:rFonts w:ascii="Arial" w:hAnsi="Arial" w:cs="Arial"/>
          <w:b/>
          <w:i/>
          <w:sz w:val="20"/>
          <w:szCs w:val="20"/>
        </w:rPr>
        <w:t xml:space="preserve"> deveria ser a existência do maior número possível de agentes</w:t>
      </w:r>
      <w:r>
        <w:rPr>
          <w:rFonts w:ascii="Arial" w:hAnsi="Arial" w:cs="Arial"/>
          <w:i/>
          <w:sz w:val="20"/>
          <w:szCs w:val="20"/>
        </w:rPr>
        <w:t xml:space="preserve"> </w:t>
      </w:r>
      <w:r w:rsidRPr="008A342A">
        <w:rPr>
          <w:rFonts w:ascii="Arial" w:hAnsi="Arial" w:cs="Arial"/>
          <w:b/>
          <w:i/>
          <w:sz w:val="20"/>
          <w:szCs w:val="20"/>
        </w:rPr>
        <w:t>já foi em diversas ocasiões desmistificada pela teoria econômica</w:t>
      </w:r>
      <w:r w:rsidRPr="00545F33">
        <w:rPr>
          <w:rFonts w:ascii="Arial" w:hAnsi="Arial" w:cs="Arial"/>
          <w:i/>
          <w:sz w:val="20"/>
          <w:szCs w:val="20"/>
        </w:rPr>
        <w:t>. De fato, como afirma Possas</w:t>
      </w:r>
      <w:r>
        <w:rPr>
          <w:rFonts w:ascii="Arial" w:hAnsi="Arial" w:cs="Arial"/>
          <w:i/>
          <w:sz w:val="20"/>
          <w:szCs w:val="20"/>
        </w:rPr>
        <w:t xml:space="preserve"> </w:t>
      </w:r>
      <w:r w:rsidRPr="00545F33">
        <w:rPr>
          <w:rFonts w:ascii="Arial" w:hAnsi="Arial" w:cs="Arial"/>
          <w:i/>
          <w:sz w:val="20"/>
          <w:szCs w:val="20"/>
        </w:rPr>
        <w:t>(2002, pp; 428-429)*, um mercado atomístico, composto de empresas economicamente</w:t>
      </w:r>
      <w:r>
        <w:rPr>
          <w:rFonts w:ascii="Arial" w:hAnsi="Arial" w:cs="Arial"/>
          <w:i/>
          <w:sz w:val="20"/>
          <w:szCs w:val="20"/>
        </w:rPr>
        <w:t xml:space="preserve"> </w:t>
      </w:r>
      <w:r w:rsidRPr="00545F33">
        <w:rPr>
          <w:rFonts w:ascii="Arial" w:hAnsi="Arial" w:cs="Arial"/>
          <w:i/>
          <w:sz w:val="20"/>
          <w:szCs w:val="20"/>
        </w:rPr>
        <w:t xml:space="preserve">insignificantes e desprovidas de qualquer poder de mercado, enquanto paradigma competitivo, </w:t>
      </w:r>
      <w:r w:rsidRPr="004A39B8">
        <w:rPr>
          <w:rFonts w:ascii="Arial" w:hAnsi="Arial" w:cs="Arial"/>
          <w:b/>
          <w:i/>
          <w:sz w:val="20"/>
          <w:szCs w:val="20"/>
        </w:rPr>
        <w:t>é uma lamentável ficção da ortodoxia econômica que, se verdadeira, debilitaria o ambiente competitivo e o processo de concorrência ao ponto de tornar este último inoperante, com consequentes prejuízos ao consumidor e ao bem-estar social, quando visto em perspectiva dinâmica</w:t>
      </w:r>
      <w:r w:rsidRPr="00545F33">
        <w:rPr>
          <w:rFonts w:ascii="Arial" w:hAnsi="Arial" w:cs="Arial"/>
          <w:i/>
          <w:sz w:val="20"/>
          <w:szCs w:val="20"/>
        </w:rPr>
        <w:t>.</w:t>
      </w:r>
    </w:p>
    <w:p w:rsidR="00545F33" w:rsidRDefault="00545F33" w:rsidP="00A828BA">
      <w:pPr>
        <w:ind w:left="1416"/>
        <w:jc w:val="both"/>
        <w:rPr>
          <w:rFonts w:ascii="Arial" w:hAnsi="Arial" w:cs="Arial"/>
          <w:i/>
          <w:sz w:val="20"/>
          <w:szCs w:val="20"/>
        </w:rPr>
      </w:pPr>
    </w:p>
    <w:p w:rsidR="00545F33" w:rsidRDefault="00545F33" w:rsidP="00A828BA">
      <w:pPr>
        <w:ind w:left="1416"/>
        <w:jc w:val="both"/>
        <w:rPr>
          <w:rFonts w:ascii="Arial" w:hAnsi="Arial" w:cs="Arial"/>
          <w:i/>
          <w:sz w:val="20"/>
          <w:szCs w:val="20"/>
        </w:rPr>
      </w:pPr>
      <w:r>
        <w:rPr>
          <w:rFonts w:ascii="Arial" w:hAnsi="Arial" w:cs="Arial"/>
          <w:i/>
          <w:sz w:val="20"/>
          <w:szCs w:val="20"/>
        </w:rPr>
        <w:t xml:space="preserve">2.3. </w:t>
      </w:r>
      <w:r w:rsidRPr="004A39B8">
        <w:rPr>
          <w:rFonts w:ascii="Arial" w:hAnsi="Arial" w:cs="Arial"/>
          <w:b/>
          <w:i/>
          <w:sz w:val="20"/>
          <w:szCs w:val="20"/>
        </w:rPr>
        <w:t xml:space="preserve">Em que pese o entendimento de que a eliminação de restrições de caráter institucional, de forma a permitir o ingresso de novos agentes em um dado setor, conduz a maior concorrência, com consequente redução de preços e das margens de lucro em benefício do consumidor, o mercado de </w:t>
      </w:r>
      <w:r w:rsidRPr="000B20D0">
        <w:rPr>
          <w:rFonts w:ascii="Arial" w:hAnsi="Arial" w:cs="Arial"/>
          <w:b/>
          <w:i/>
          <w:sz w:val="20"/>
          <w:szCs w:val="20"/>
          <w:u w:val="single"/>
        </w:rPr>
        <w:t>distribuição de combustíveis</w:t>
      </w:r>
      <w:r w:rsidRPr="004A39B8">
        <w:rPr>
          <w:rFonts w:ascii="Arial" w:hAnsi="Arial" w:cs="Arial"/>
          <w:b/>
          <w:i/>
          <w:sz w:val="20"/>
          <w:szCs w:val="20"/>
        </w:rPr>
        <w:t xml:space="preserve"> no Brasil nos obriga a problematizar essa formulação e questionar sua eficiência</w:t>
      </w:r>
      <w:r w:rsidRPr="00545F33">
        <w:rPr>
          <w:rFonts w:ascii="Arial" w:hAnsi="Arial" w:cs="Arial"/>
          <w:i/>
          <w:sz w:val="20"/>
          <w:szCs w:val="20"/>
        </w:rPr>
        <w:t>.</w:t>
      </w:r>
    </w:p>
    <w:p w:rsidR="00545F33" w:rsidRDefault="00545F33" w:rsidP="00A828BA">
      <w:pPr>
        <w:ind w:left="1416"/>
        <w:jc w:val="both"/>
        <w:rPr>
          <w:rFonts w:ascii="Arial" w:hAnsi="Arial" w:cs="Arial"/>
          <w:i/>
          <w:sz w:val="20"/>
          <w:szCs w:val="20"/>
        </w:rPr>
      </w:pPr>
    </w:p>
    <w:p w:rsidR="00545F33" w:rsidRDefault="00545F33" w:rsidP="00A828BA">
      <w:pPr>
        <w:ind w:left="1416"/>
        <w:jc w:val="both"/>
        <w:rPr>
          <w:rFonts w:ascii="Arial" w:hAnsi="Arial" w:cs="Arial"/>
          <w:i/>
          <w:sz w:val="20"/>
          <w:szCs w:val="20"/>
        </w:rPr>
      </w:pPr>
      <w:r>
        <w:rPr>
          <w:rFonts w:ascii="Arial" w:hAnsi="Arial" w:cs="Arial"/>
          <w:i/>
          <w:sz w:val="20"/>
          <w:szCs w:val="20"/>
        </w:rPr>
        <w:t xml:space="preserve">2.4. </w:t>
      </w:r>
      <w:r w:rsidRPr="00545F33">
        <w:rPr>
          <w:rFonts w:ascii="Arial" w:hAnsi="Arial" w:cs="Arial"/>
          <w:i/>
          <w:sz w:val="20"/>
          <w:szCs w:val="20"/>
        </w:rPr>
        <w:t xml:space="preserve">A abertura do mercado de distribuição de combustíveis </w:t>
      </w:r>
      <w:r>
        <w:rPr>
          <w:rFonts w:ascii="Arial" w:hAnsi="Arial" w:cs="Arial"/>
          <w:i/>
          <w:sz w:val="20"/>
          <w:szCs w:val="20"/>
        </w:rPr>
        <w:t xml:space="preserve">teve seu início com a edição da </w:t>
      </w:r>
      <w:r w:rsidRPr="00545F33">
        <w:rPr>
          <w:rFonts w:ascii="Arial" w:hAnsi="Arial" w:cs="Arial"/>
          <w:i/>
          <w:sz w:val="20"/>
          <w:szCs w:val="20"/>
        </w:rPr>
        <w:t>Portaria MINFRA nº 842, de 01/11/90, que eliminou toda e qualquer barreira de entrada</w:t>
      </w:r>
      <w:r>
        <w:rPr>
          <w:rFonts w:ascii="Arial" w:hAnsi="Arial" w:cs="Arial"/>
          <w:i/>
          <w:sz w:val="20"/>
          <w:szCs w:val="20"/>
        </w:rPr>
        <w:t xml:space="preserve"> </w:t>
      </w:r>
      <w:r w:rsidRPr="00545F33">
        <w:rPr>
          <w:rFonts w:ascii="Arial" w:hAnsi="Arial" w:cs="Arial"/>
          <w:i/>
          <w:sz w:val="20"/>
          <w:szCs w:val="20"/>
        </w:rPr>
        <w:t>institucional nesse setor, gerando a expectativa de aumento de oferta de produtos e redução de</w:t>
      </w:r>
      <w:r>
        <w:rPr>
          <w:rFonts w:ascii="Arial" w:hAnsi="Arial" w:cs="Arial"/>
          <w:i/>
          <w:sz w:val="20"/>
          <w:szCs w:val="20"/>
        </w:rPr>
        <w:t xml:space="preserve"> </w:t>
      </w:r>
      <w:r w:rsidRPr="00545F33">
        <w:rPr>
          <w:rFonts w:ascii="Arial" w:hAnsi="Arial" w:cs="Arial"/>
          <w:i/>
          <w:sz w:val="20"/>
          <w:szCs w:val="20"/>
        </w:rPr>
        <w:t>preço em face do aumento da contestabilidade do setor. Tais efeitos, porém, não foram os que</w:t>
      </w:r>
      <w:r>
        <w:rPr>
          <w:rFonts w:ascii="Arial" w:hAnsi="Arial" w:cs="Arial"/>
          <w:i/>
          <w:sz w:val="20"/>
          <w:szCs w:val="20"/>
        </w:rPr>
        <w:t xml:space="preserve"> </w:t>
      </w:r>
      <w:r w:rsidRPr="00545F33">
        <w:rPr>
          <w:rFonts w:ascii="Arial" w:hAnsi="Arial" w:cs="Arial"/>
          <w:i/>
          <w:sz w:val="20"/>
          <w:szCs w:val="20"/>
        </w:rPr>
        <w:t xml:space="preserve">caracterizaram o processo que se inaugurou com o novo quadro regulatório. </w:t>
      </w:r>
      <w:r w:rsidRPr="004A39B8">
        <w:rPr>
          <w:rFonts w:ascii="Arial" w:hAnsi="Arial" w:cs="Arial"/>
          <w:b/>
          <w:i/>
          <w:sz w:val="20"/>
          <w:szCs w:val="20"/>
        </w:rPr>
        <w:t>O que se viu foi um crescente e assustador aumento nos problemas de qualidade dos produtos e de sonegação fiscal, levando o regulador a refletir sobre a eficiência dessa eliminação de barreiras institucionais</w:t>
      </w:r>
      <w:r w:rsidRPr="00545F33">
        <w:rPr>
          <w:rFonts w:ascii="Arial" w:hAnsi="Arial" w:cs="Arial"/>
          <w:i/>
          <w:sz w:val="20"/>
          <w:szCs w:val="20"/>
        </w:rPr>
        <w:t>.</w:t>
      </w:r>
    </w:p>
    <w:p w:rsidR="00545F33" w:rsidRDefault="00545F33" w:rsidP="00A828BA">
      <w:pPr>
        <w:ind w:left="1416"/>
        <w:jc w:val="both"/>
        <w:rPr>
          <w:rFonts w:ascii="Arial" w:hAnsi="Arial" w:cs="Arial"/>
          <w:i/>
          <w:sz w:val="20"/>
          <w:szCs w:val="20"/>
        </w:rPr>
      </w:pPr>
    </w:p>
    <w:p w:rsidR="00545F33" w:rsidRDefault="00545F33" w:rsidP="00A828BA">
      <w:pPr>
        <w:ind w:left="1416"/>
        <w:jc w:val="both"/>
        <w:rPr>
          <w:rFonts w:ascii="Arial" w:hAnsi="Arial" w:cs="Arial"/>
          <w:i/>
          <w:sz w:val="20"/>
          <w:szCs w:val="20"/>
        </w:rPr>
      </w:pPr>
      <w:r>
        <w:rPr>
          <w:rFonts w:ascii="Arial" w:hAnsi="Arial" w:cs="Arial"/>
          <w:i/>
          <w:sz w:val="20"/>
          <w:szCs w:val="20"/>
        </w:rPr>
        <w:t xml:space="preserve">2.5. </w:t>
      </w:r>
      <w:r w:rsidRPr="00545F33">
        <w:rPr>
          <w:rFonts w:ascii="Arial" w:hAnsi="Arial" w:cs="Arial"/>
          <w:i/>
          <w:sz w:val="20"/>
          <w:szCs w:val="20"/>
        </w:rPr>
        <w:t>O mercado de distribuição, considerado de utilidade públ</w:t>
      </w:r>
      <w:r>
        <w:rPr>
          <w:rFonts w:ascii="Arial" w:hAnsi="Arial" w:cs="Arial"/>
          <w:i/>
          <w:sz w:val="20"/>
          <w:szCs w:val="20"/>
        </w:rPr>
        <w:t xml:space="preserve">ica pela Lei nº 9.847/1999, por </w:t>
      </w:r>
      <w:r w:rsidRPr="004A39B8">
        <w:rPr>
          <w:rFonts w:ascii="Arial" w:hAnsi="Arial" w:cs="Arial"/>
          <w:b/>
          <w:i/>
          <w:sz w:val="20"/>
          <w:szCs w:val="20"/>
        </w:rPr>
        <w:t>não ser um mercado perfeitamente contestável</w:t>
      </w:r>
      <w:r w:rsidRPr="00545F33">
        <w:rPr>
          <w:rFonts w:ascii="Arial" w:hAnsi="Arial" w:cs="Arial"/>
          <w:i/>
          <w:sz w:val="20"/>
          <w:szCs w:val="20"/>
        </w:rPr>
        <w:t xml:space="preserve">, </w:t>
      </w:r>
      <w:r w:rsidRPr="004A39B8">
        <w:rPr>
          <w:rFonts w:ascii="Arial" w:hAnsi="Arial" w:cs="Arial"/>
          <w:b/>
          <w:i/>
          <w:sz w:val="20"/>
          <w:szCs w:val="20"/>
        </w:rPr>
        <w:t>não pode prescindir de barreiras institucionais, sob risco de não atender o interesse público e não garantir a devida proteção ao consumidor</w:t>
      </w:r>
      <w:r w:rsidRPr="00545F33">
        <w:rPr>
          <w:rFonts w:ascii="Arial" w:hAnsi="Arial" w:cs="Arial"/>
          <w:i/>
          <w:sz w:val="20"/>
          <w:szCs w:val="20"/>
        </w:rPr>
        <w:t>.</w:t>
      </w:r>
    </w:p>
    <w:p w:rsidR="00545F33" w:rsidRDefault="00545F33" w:rsidP="00A828BA">
      <w:pPr>
        <w:ind w:left="1416"/>
        <w:jc w:val="both"/>
        <w:rPr>
          <w:rFonts w:ascii="Arial" w:hAnsi="Arial" w:cs="Arial"/>
          <w:i/>
          <w:sz w:val="20"/>
          <w:szCs w:val="20"/>
        </w:rPr>
      </w:pPr>
    </w:p>
    <w:p w:rsidR="00545F33" w:rsidRDefault="00545F33" w:rsidP="00A828BA">
      <w:pPr>
        <w:ind w:left="1416"/>
        <w:jc w:val="both"/>
        <w:rPr>
          <w:rFonts w:ascii="Arial" w:hAnsi="Arial" w:cs="Arial"/>
          <w:i/>
          <w:sz w:val="20"/>
          <w:szCs w:val="20"/>
        </w:rPr>
      </w:pPr>
      <w:r>
        <w:rPr>
          <w:rFonts w:ascii="Arial" w:hAnsi="Arial" w:cs="Arial"/>
          <w:i/>
          <w:sz w:val="20"/>
          <w:szCs w:val="20"/>
        </w:rPr>
        <w:lastRenderedPageBreak/>
        <w:t xml:space="preserve">2.6. </w:t>
      </w:r>
      <w:r w:rsidRPr="00545F33">
        <w:rPr>
          <w:rFonts w:ascii="Arial" w:hAnsi="Arial" w:cs="Arial"/>
          <w:i/>
          <w:sz w:val="20"/>
          <w:szCs w:val="20"/>
        </w:rPr>
        <w:t>Dentro desse quadro de distorções geradas pela eliminaçã</w:t>
      </w:r>
      <w:r>
        <w:rPr>
          <w:rFonts w:ascii="Arial" w:hAnsi="Arial" w:cs="Arial"/>
          <w:i/>
          <w:sz w:val="20"/>
          <w:szCs w:val="20"/>
        </w:rPr>
        <w:t xml:space="preserve">o, pura e simples, de barreiras </w:t>
      </w:r>
      <w:r w:rsidRPr="00545F33">
        <w:rPr>
          <w:rFonts w:ascii="Arial" w:hAnsi="Arial" w:cs="Arial"/>
          <w:i/>
          <w:sz w:val="20"/>
          <w:szCs w:val="20"/>
        </w:rPr>
        <w:t>institucionais, é que foram editadas as Portarias ANP nºs 29/99 e 202/99 com o objetivo de</w:t>
      </w:r>
      <w:r>
        <w:rPr>
          <w:rFonts w:ascii="Arial" w:hAnsi="Arial" w:cs="Arial"/>
          <w:i/>
          <w:sz w:val="20"/>
          <w:szCs w:val="20"/>
        </w:rPr>
        <w:t xml:space="preserve"> </w:t>
      </w:r>
      <w:r w:rsidRPr="00E37614">
        <w:rPr>
          <w:rFonts w:ascii="Arial" w:hAnsi="Arial" w:cs="Arial"/>
          <w:b/>
          <w:i/>
          <w:sz w:val="20"/>
          <w:szCs w:val="20"/>
        </w:rPr>
        <w:t xml:space="preserve">restabelecer restrições de acesso à atividade, visando garantir o comprometimento com </w:t>
      </w:r>
      <w:r w:rsidR="002E1FD0" w:rsidRPr="00E37614">
        <w:rPr>
          <w:rFonts w:ascii="Arial" w:hAnsi="Arial" w:cs="Arial"/>
          <w:b/>
          <w:i/>
          <w:sz w:val="20"/>
          <w:szCs w:val="20"/>
        </w:rPr>
        <w:t xml:space="preserve">o </w:t>
      </w:r>
      <w:r w:rsidRPr="00E37614">
        <w:rPr>
          <w:rFonts w:ascii="Arial" w:hAnsi="Arial" w:cs="Arial"/>
          <w:b/>
          <w:i/>
          <w:sz w:val="20"/>
          <w:szCs w:val="20"/>
        </w:rPr>
        <w:t>suprimento de combustíveis</w:t>
      </w:r>
      <w:r w:rsidRPr="00545F33">
        <w:rPr>
          <w:rFonts w:ascii="Arial" w:hAnsi="Arial" w:cs="Arial"/>
          <w:i/>
          <w:sz w:val="20"/>
          <w:szCs w:val="20"/>
        </w:rPr>
        <w:t>. É importante destacar que tais regulamentos vinham</w:t>
      </w:r>
      <w:r w:rsidR="002E1FD0">
        <w:rPr>
          <w:rFonts w:ascii="Arial" w:hAnsi="Arial" w:cs="Arial"/>
          <w:i/>
          <w:sz w:val="20"/>
          <w:szCs w:val="20"/>
        </w:rPr>
        <w:t xml:space="preserve"> </w:t>
      </w:r>
      <w:r w:rsidRPr="00545F33">
        <w:rPr>
          <w:rFonts w:ascii="Arial" w:hAnsi="Arial" w:cs="Arial"/>
          <w:i/>
          <w:sz w:val="20"/>
          <w:szCs w:val="20"/>
        </w:rPr>
        <w:t>operacionalizar o papel da ANP na regulação de entrada no segmento de distribuição de</w:t>
      </w:r>
      <w:r w:rsidR="002E1FD0">
        <w:rPr>
          <w:rFonts w:ascii="Arial" w:hAnsi="Arial" w:cs="Arial"/>
          <w:i/>
          <w:sz w:val="20"/>
          <w:szCs w:val="20"/>
        </w:rPr>
        <w:t xml:space="preserve"> </w:t>
      </w:r>
      <w:r w:rsidRPr="00545F33">
        <w:rPr>
          <w:rFonts w:ascii="Arial" w:hAnsi="Arial" w:cs="Arial"/>
          <w:i/>
          <w:sz w:val="20"/>
          <w:szCs w:val="20"/>
        </w:rPr>
        <w:t>combustíveis. Isto porque, como destaca Pinto Jr. (</w:t>
      </w:r>
      <w:proofErr w:type="gramStart"/>
      <w:r w:rsidRPr="00545F33">
        <w:rPr>
          <w:rFonts w:ascii="Arial" w:hAnsi="Arial" w:cs="Arial"/>
          <w:i/>
          <w:sz w:val="20"/>
          <w:szCs w:val="20"/>
        </w:rPr>
        <w:t>2003)*</w:t>
      </w:r>
      <w:proofErr w:type="gramEnd"/>
      <w:r w:rsidRPr="00545F33">
        <w:rPr>
          <w:rFonts w:ascii="Arial" w:hAnsi="Arial" w:cs="Arial"/>
          <w:i/>
          <w:sz w:val="20"/>
          <w:szCs w:val="20"/>
        </w:rPr>
        <w:t>*, um dos instrumentos tradicionais da</w:t>
      </w:r>
      <w:r w:rsidR="002E1FD0">
        <w:rPr>
          <w:rFonts w:ascii="Arial" w:hAnsi="Arial" w:cs="Arial"/>
          <w:i/>
          <w:sz w:val="20"/>
          <w:szCs w:val="20"/>
        </w:rPr>
        <w:t xml:space="preserve"> </w:t>
      </w:r>
      <w:r w:rsidRPr="00545F33">
        <w:rPr>
          <w:rFonts w:ascii="Arial" w:hAnsi="Arial" w:cs="Arial"/>
          <w:i/>
          <w:sz w:val="20"/>
          <w:szCs w:val="20"/>
        </w:rPr>
        <w:t>regulação econômica era a regulação das condições de entrada e saída no(s) mercado(s), através</w:t>
      </w:r>
      <w:r w:rsidR="00D42C82">
        <w:rPr>
          <w:rFonts w:ascii="Arial" w:hAnsi="Arial" w:cs="Arial"/>
          <w:i/>
          <w:sz w:val="20"/>
          <w:szCs w:val="20"/>
        </w:rPr>
        <w:t xml:space="preserve"> </w:t>
      </w:r>
      <w:r w:rsidRPr="00545F33">
        <w:rPr>
          <w:rFonts w:ascii="Arial" w:hAnsi="Arial" w:cs="Arial"/>
          <w:i/>
          <w:sz w:val="20"/>
          <w:szCs w:val="20"/>
        </w:rPr>
        <w:t xml:space="preserve">da criação de barreiras institucionais visando assegurar </w:t>
      </w:r>
      <w:r w:rsidRPr="00E37614">
        <w:rPr>
          <w:rFonts w:ascii="Arial" w:hAnsi="Arial" w:cs="Arial"/>
          <w:b/>
          <w:i/>
          <w:sz w:val="20"/>
          <w:szCs w:val="20"/>
        </w:rPr>
        <w:t>o aproveitamento dos ganhos de</w:t>
      </w:r>
      <w:r w:rsidR="00D42C82" w:rsidRPr="00E37614">
        <w:rPr>
          <w:rFonts w:ascii="Arial" w:hAnsi="Arial" w:cs="Arial"/>
          <w:b/>
          <w:i/>
          <w:sz w:val="20"/>
          <w:szCs w:val="20"/>
        </w:rPr>
        <w:t xml:space="preserve"> </w:t>
      </w:r>
      <w:r w:rsidRPr="00E37614">
        <w:rPr>
          <w:rFonts w:ascii="Arial" w:hAnsi="Arial" w:cs="Arial"/>
          <w:b/>
          <w:i/>
          <w:sz w:val="20"/>
          <w:szCs w:val="20"/>
        </w:rPr>
        <w:t>eficiência ao longo de toda a cadeia produtiva</w:t>
      </w:r>
      <w:r w:rsidRPr="00545F33">
        <w:rPr>
          <w:rFonts w:ascii="Arial" w:hAnsi="Arial" w:cs="Arial"/>
          <w:i/>
          <w:sz w:val="20"/>
          <w:szCs w:val="20"/>
        </w:rPr>
        <w:t xml:space="preserve">. O principal objetivo do regulador, nestes casos, </w:t>
      </w:r>
      <w:r w:rsidRPr="00E37614">
        <w:rPr>
          <w:rFonts w:ascii="Arial" w:hAnsi="Arial" w:cs="Arial"/>
          <w:b/>
          <w:i/>
          <w:sz w:val="20"/>
          <w:szCs w:val="20"/>
        </w:rPr>
        <w:t>é</w:t>
      </w:r>
      <w:r w:rsidR="00D42C82" w:rsidRPr="00E37614">
        <w:rPr>
          <w:rFonts w:ascii="Arial" w:hAnsi="Arial" w:cs="Arial"/>
          <w:b/>
          <w:i/>
          <w:sz w:val="20"/>
          <w:szCs w:val="20"/>
        </w:rPr>
        <w:t xml:space="preserve"> evitar que uma eventual fixação de critérios insuficientes acabe por atrair firmas ineficientes para o setor, elevando desnecessariamente os custos de produção e gerando prejuízos ao consumidor</w:t>
      </w:r>
      <w:r w:rsidR="00B63EA3" w:rsidRPr="00E37614">
        <w:rPr>
          <w:rFonts w:ascii="Arial" w:hAnsi="Arial" w:cs="Arial"/>
          <w:b/>
          <w:i/>
          <w:sz w:val="20"/>
          <w:szCs w:val="20"/>
        </w:rPr>
        <w:t xml:space="preserve"> </w:t>
      </w:r>
      <w:proofErr w:type="gramStart"/>
      <w:r w:rsidR="00D42C82" w:rsidRPr="00E37614">
        <w:rPr>
          <w:rFonts w:ascii="Arial" w:hAnsi="Arial" w:cs="Arial"/>
          <w:b/>
          <w:i/>
          <w:sz w:val="20"/>
          <w:szCs w:val="20"/>
        </w:rPr>
        <w:t>no curto e médio prazos</w:t>
      </w:r>
      <w:proofErr w:type="gramEnd"/>
      <w:r w:rsidR="00D42C82" w:rsidRPr="00D42C82">
        <w:rPr>
          <w:rFonts w:ascii="Arial" w:hAnsi="Arial" w:cs="Arial"/>
          <w:i/>
          <w:sz w:val="20"/>
          <w:szCs w:val="20"/>
        </w:rPr>
        <w:t>.</w:t>
      </w:r>
    </w:p>
    <w:p w:rsidR="00B63EA3" w:rsidRDefault="00B63EA3" w:rsidP="00A828BA">
      <w:pPr>
        <w:ind w:left="1416"/>
        <w:jc w:val="both"/>
        <w:rPr>
          <w:rFonts w:ascii="Arial" w:hAnsi="Arial" w:cs="Arial"/>
          <w:i/>
          <w:sz w:val="20"/>
          <w:szCs w:val="20"/>
        </w:rPr>
      </w:pPr>
    </w:p>
    <w:p w:rsidR="00B63EA3" w:rsidRDefault="00B63EA3" w:rsidP="00A828BA">
      <w:pPr>
        <w:ind w:left="1416"/>
        <w:jc w:val="both"/>
        <w:rPr>
          <w:rFonts w:ascii="Arial" w:hAnsi="Arial" w:cs="Arial"/>
          <w:i/>
          <w:sz w:val="20"/>
          <w:szCs w:val="20"/>
        </w:rPr>
      </w:pPr>
      <w:r>
        <w:rPr>
          <w:rFonts w:ascii="Arial" w:hAnsi="Arial" w:cs="Arial"/>
          <w:i/>
          <w:sz w:val="20"/>
          <w:szCs w:val="20"/>
        </w:rPr>
        <w:t xml:space="preserve">2.7. </w:t>
      </w:r>
      <w:r w:rsidRPr="00B63EA3">
        <w:rPr>
          <w:rFonts w:ascii="Arial" w:hAnsi="Arial" w:cs="Arial"/>
          <w:i/>
          <w:sz w:val="20"/>
          <w:szCs w:val="20"/>
        </w:rPr>
        <w:t>Considerando que a ANP não regula os preços praticados nem tampouco a quantidade</w:t>
      </w:r>
      <w:r>
        <w:rPr>
          <w:rFonts w:ascii="Arial" w:hAnsi="Arial" w:cs="Arial"/>
          <w:i/>
          <w:sz w:val="20"/>
          <w:szCs w:val="20"/>
        </w:rPr>
        <w:t xml:space="preserve"> </w:t>
      </w:r>
      <w:r w:rsidRPr="00B63EA3">
        <w:rPr>
          <w:rFonts w:ascii="Arial" w:hAnsi="Arial" w:cs="Arial"/>
          <w:i/>
          <w:sz w:val="20"/>
          <w:szCs w:val="20"/>
        </w:rPr>
        <w:t xml:space="preserve">ofertada de produtos na fase de produção, </w:t>
      </w:r>
      <w:r w:rsidRPr="00E37614">
        <w:rPr>
          <w:rFonts w:ascii="Arial" w:hAnsi="Arial" w:cs="Arial"/>
          <w:b/>
          <w:i/>
          <w:sz w:val="20"/>
          <w:szCs w:val="20"/>
        </w:rPr>
        <w:t>é através da promoção de eficiência e da estruturação de um ambiente competitivo eficaz que a ANP pode garantir os interesses dos consumidores quanto a preço e oferta dos produtos por ela regulados</w:t>
      </w:r>
      <w:r w:rsidRPr="00B63EA3">
        <w:rPr>
          <w:rFonts w:ascii="Arial" w:hAnsi="Arial" w:cs="Arial"/>
          <w:i/>
          <w:sz w:val="20"/>
          <w:szCs w:val="20"/>
        </w:rPr>
        <w:t xml:space="preserve">. Para isso, </w:t>
      </w:r>
      <w:r w:rsidRPr="00E37614">
        <w:rPr>
          <w:rFonts w:ascii="Arial" w:hAnsi="Arial" w:cs="Arial"/>
          <w:b/>
          <w:i/>
          <w:sz w:val="20"/>
          <w:szCs w:val="20"/>
        </w:rPr>
        <w:t>o controle de entrada e saída de agentes no setor é um dos principais instrumentos de que dispõe a ANP para exercer sua competência regulatória</w:t>
      </w:r>
      <w:r w:rsidRPr="00B63EA3">
        <w:rPr>
          <w:rFonts w:ascii="Arial" w:hAnsi="Arial" w:cs="Arial"/>
          <w:i/>
          <w:sz w:val="20"/>
          <w:szCs w:val="20"/>
        </w:rPr>
        <w:t>.</w:t>
      </w:r>
    </w:p>
    <w:p w:rsidR="008A342A" w:rsidRDefault="008A342A" w:rsidP="00A828BA">
      <w:pPr>
        <w:ind w:left="1416"/>
        <w:jc w:val="both"/>
        <w:rPr>
          <w:rFonts w:ascii="Arial" w:hAnsi="Arial" w:cs="Arial"/>
          <w:i/>
          <w:sz w:val="20"/>
          <w:szCs w:val="20"/>
        </w:rPr>
      </w:pPr>
    </w:p>
    <w:p w:rsidR="008A342A" w:rsidRDefault="008A342A" w:rsidP="00A828BA">
      <w:pPr>
        <w:autoSpaceDE w:val="0"/>
        <w:autoSpaceDN w:val="0"/>
        <w:adjustRightInd w:val="0"/>
        <w:ind w:left="1416"/>
        <w:jc w:val="both"/>
        <w:rPr>
          <w:rFonts w:ascii="Times New Roman" w:hAnsi="Times New Roman" w:cs="Times New Roman"/>
          <w:sz w:val="20"/>
          <w:szCs w:val="20"/>
        </w:rPr>
      </w:pPr>
      <w:r>
        <w:rPr>
          <w:rFonts w:ascii="Times New Roman" w:hAnsi="Times New Roman" w:cs="Times New Roman"/>
          <w:sz w:val="20"/>
          <w:szCs w:val="20"/>
        </w:rPr>
        <w:t xml:space="preserve">* Possas, Mario Luiz. Concorrência Schumpeteriana. </w:t>
      </w:r>
      <w:r w:rsidRPr="008A342A">
        <w:rPr>
          <w:rFonts w:ascii="Times New Roman" w:hAnsi="Times New Roman" w:cs="Times New Roman"/>
          <w:i/>
          <w:sz w:val="20"/>
          <w:szCs w:val="20"/>
        </w:rPr>
        <w:t>In</w:t>
      </w:r>
      <w:r>
        <w:rPr>
          <w:rFonts w:ascii="Times New Roman" w:hAnsi="Times New Roman" w:cs="Times New Roman"/>
          <w:sz w:val="20"/>
          <w:szCs w:val="20"/>
        </w:rPr>
        <w:t xml:space="preserve"> Kupfer, David. &amp; Hasenclever, Lia, Economia Industrial: fundamentos teóricos e práticos no Brasil. Rio de Janeiro: Campus, 2002</w:t>
      </w:r>
    </w:p>
    <w:p w:rsidR="008A342A" w:rsidRPr="008A342A" w:rsidRDefault="008A342A" w:rsidP="00A828BA">
      <w:pPr>
        <w:autoSpaceDE w:val="0"/>
        <w:autoSpaceDN w:val="0"/>
        <w:adjustRightInd w:val="0"/>
        <w:ind w:left="1416"/>
        <w:jc w:val="both"/>
        <w:rPr>
          <w:rFonts w:ascii="Times New Roman" w:hAnsi="Times New Roman" w:cs="Times New Roman"/>
          <w:sz w:val="20"/>
          <w:szCs w:val="20"/>
        </w:rPr>
      </w:pPr>
      <w:r>
        <w:rPr>
          <w:rFonts w:ascii="Times New Roman" w:hAnsi="Times New Roman" w:cs="Times New Roman"/>
          <w:sz w:val="20"/>
          <w:szCs w:val="20"/>
        </w:rPr>
        <w:t>** Pinto Junior, Helder Queiroz. As Missões de Regulação de Energia e a Revisão do Desenho Institucional: experiência internacional e lições para o caso brasileiro.  Relatório de pesquisa MME – PNUD. Grupo de Economia da Energia, Instituto de Economia, UFRJ: Rio de Janeiro, 2003.</w:t>
      </w:r>
    </w:p>
    <w:p w:rsidR="00262CFE" w:rsidRDefault="00262CFE" w:rsidP="00AC584B">
      <w:pPr>
        <w:jc w:val="both"/>
        <w:rPr>
          <w:rFonts w:ascii="Arial" w:hAnsi="Arial" w:cs="Arial"/>
          <w:b/>
        </w:rPr>
      </w:pPr>
    </w:p>
    <w:p w:rsidR="00E37614" w:rsidRDefault="00E37614" w:rsidP="00AC584B">
      <w:pPr>
        <w:jc w:val="both"/>
        <w:rPr>
          <w:rFonts w:ascii="Arial" w:hAnsi="Arial" w:cs="Arial"/>
        </w:rPr>
      </w:pPr>
      <w:r>
        <w:rPr>
          <w:rFonts w:ascii="Arial" w:hAnsi="Arial" w:cs="Arial"/>
          <w:b/>
        </w:rPr>
        <w:tab/>
      </w:r>
      <w:r w:rsidR="004E1D62">
        <w:rPr>
          <w:rFonts w:ascii="Arial" w:hAnsi="Arial" w:cs="Arial"/>
        </w:rPr>
        <w:t xml:space="preserve">Embora </w:t>
      </w:r>
      <w:r w:rsidR="00723793">
        <w:rPr>
          <w:rFonts w:ascii="Arial" w:hAnsi="Arial" w:cs="Arial"/>
        </w:rPr>
        <w:t xml:space="preserve">respeitemos a posição doutrinária apontada no trecho acima, com a devida vênia, </w:t>
      </w:r>
      <w:r w:rsidR="00B6662A">
        <w:rPr>
          <w:rFonts w:ascii="Arial" w:hAnsi="Arial" w:cs="Arial"/>
        </w:rPr>
        <w:t xml:space="preserve">a confrontamos </w:t>
      </w:r>
      <w:r w:rsidR="00A46B40">
        <w:rPr>
          <w:rFonts w:ascii="Arial" w:hAnsi="Arial" w:cs="Arial"/>
        </w:rPr>
        <w:t>frontal</w:t>
      </w:r>
      <w:r w:rsidR="00B6662A">
        <w:rPr>
          <w:rFonts w:ascii="Arial" w:hAnsi="Arial" w:cs="Arial"/>
        </w:rPr>
        <w:t>mente na medida em que contraria, inicialmente, os citados princípios basilares da ordem econômica</w:t>
      </w:r>
      <w:r w:rsidR="00A46B40">
        <w:rPr>
          <w:rFonts w:ascii="Arial" w:hAnsi="Arial" w:cs="Arial"/>
        </w:rPr>
        <w:t>,</w:t>
      </w:r>
      <w:r w:rsidR="00B6662A">
        <w:rPr>
          <w:rFonts w:ascii="Arial" w:hAnsi="Arial" w:cs="Arial"/>
        </w:rPr>
        <w:t xml:space="preserve"> previstos no art. 170 de nossa Carta Magna</w:t>
      </w:r>
      <w:r w:rsidR="00A46B40">
        <w:rPr>
          <w:rFonts w:ascii="Arial" w:hAnsi="Arial" w:cs="Arial"/>
        </w:rPr>
        <w:t xml:space="preserve"> e</w:t>
      </w:r>
      <w:r w:rsidR="00B6662A">
        <w:rPr>
          <w:rFonts w:ascii="Arial" w:hAnsi="Arial" w:cs="Arial"/>
        </w:rPr>
        <w:t xml:space="preserve"> relacionados especificamente à </w:t>
      </w:r>
      <w:r w:rsidR="00B6662A" w:rsidRPr="0093733C">
        <w:rPr>
          <w:rFonts w:ascii="Arial" w:hAnsi="Arial" w:cs="Arial"/>
        </w:rPr>
        <w:t>livre</w:t>
      </w:r>
      <w:r w:rsidR="00B6662A">
        <w:rPr>
          <w:rFonts w:ascii="Arial" w:hAnsi="Arial" w:cs="Arial"/>
        </w:rPr>
        <w:t xml:space="preserve"> iniciativa, livre concorrência</w:t>
      </w:r>
      <w:r w:rsidR="00B6662A" w:rsidRPr="0093733C">
        <w:rPr>
          <w:rFonts w:ascii="Arial" w:hAnsi="Arial" w:cs="Arial"/>
        </w:rPr>
        <w:t xml:space="preserve"> e tratamento favorecido a empresas de pequeno porte</w:t>
      </w:r>
      <w:r w:rsidR="00BD2ACE">
        <w:rPr>
          <w:rFonts w:ascii="Arial" w:hAnsi="Arial" w:cs="Arial"/>
        </w:rPr>
        <w:t xml:space="preserve">. Esta fundamentação também </w:t>
      </w:r>
      <w:r w:rsidR="00C74F9F">
        <w:rPr>
          <w:rFonts w:ascii="Arial" w:hAnsi="Arial" w:cs="Arial"/>
        </w:rPr>
        <w:t xml:space="preserve">confronta a teoria econômica neoclássica na qual </w:t>
      </w:r>
      <w:r w:rsidR="007B30E5">
        <w:rPr>
          <w:rFonts w:ascii="Arial" w:hAnsi="Arial" w:cs="Arial"/>
        </w:rPr>
        <w:t xml:space="preserve">mercados atomísticos </w:t>
      </w:r>
      <w:r w:rsidR="00D413EB">
        <w:rPr>
          <w:rFonts w:ascii="Arial" w:hAnsi="Arial" w:cs="Arial"/>
        </w:rPr>
        <w:t xml:space="preserve">ou moderadamente concentrados </w:t>
      </w:r>
      <w:r w:rsidR="007B30E5">
        <w:rPr>
          <w:rFonts w:ascii="Arial" w:hAnsi="Arial" w:cs="Arial"/>
        </w:rPr>
        <w:t>são aqueles que trazem, normalmente, os preços mais baixos aos consumidores</w:t>
      </w:r>
      <w:r w:rsidR="00D413EB">
        <w:rPr>
          <w:rFonts w:ascii="Arial" w:hAnsi="Arial" w:cs="Arial"/>
        </w:rPr>
        <w:t>.</w:t>
      </w:r>
    </w:p>
    <w:p w:rsidR="007B30E5" w:rsidRDefault="007B30E5" w:rsidP="00AC584B">
      <w:pPr>
        <w:jc w:val="both"/>
        <w:rPr>
          <w:rFonts w:ascii="Arial" w:hAnsi="Arial" w:cs="Arial"/>
        </w:rPr>
      </w:pPr>
    </w:p>
    <w:p w:rsidR="007B30E5" w:rsidRDefault="007B30E5" w:rsidP="00AC584B">
      <w:pPr>
        <w:jc w:val="both"/>
        <w:rPr>
          <w:rFonts w:ascii="Arial" w:hAnsi="Arial" w:cs="Arial"/>
        </w:rPr>
      </w:pPr>
      <w:r>
        <w:rPr>
          <w:rFonts w:ascii="Arial" w:hAnsi="Arial" w:cs="Arial"/>
        </w:rPr>
        <w:tab/>
        <w:t xml:space="preserve">Nesse sentido, é interessante </w:t>
      </w:r>
      <w:r w:rsidR="00E53324">
        <w:rPr>
          <w:rFonts w:ascii="Arial" w:hAnsi="Arial" w:cs="Arial"/>
        </w:rPr>
        <w:t xml:space="preserve">relembrarmos </w:t>
      </w:r>
      <w:r>
        <w:rPr>
          <w:rFonts w:ascii="Arial" w:hAnsi="Arial" w:cs="Arial"/>
        </w:rPr>
        <w:t>as lições de BAIN</w:t>
      </w:r>
      <w:r w:rsidR="00267A39">
        <w:rPr>
          <w:rStyle w:val="Refdenotaderodap"/>
          <w:rFonts w:ascii="Arial" w:hAnsi="Arial" w:cs="Arial"/>
        </w:rPr>
        <w:footnoteReference w:id="16"/>
      </w:r>
      <w:r w:rsidR="001710AE">
        <w:rPr>
          <w:rFonts w:ascii="Arial" w:hAnsi="Arial" w:cs="Arial"/>
        </w:rPr>
        <w:t xml:space="preserve">: </w:t>
      </w:r>
    </w:p>
    <w:p w:rsidR="001710AE" w:rsidRPr="00A027A9" w:rsidRDefault="001710AE" w:rsidP="00AC584B">
      <w:pPr>
        <w:jc w:val="both"/>
        <w:rPr>
          <w:rFonts w:ascii="Arial" w:hAnsi="Arial" w:cs="Arial"/>
          <w:sz w:val="20"/>
          <w:szCs w:val="20"/>
        </w:rPr>
      </w:pPr>
    </w:p>
    <w:p w:rsidR="0008608E" w:rsidRPr="0008608E" w:rsidRDefault="001710AE" w:rsidP="00A828BA">
      <w:pPr>
        <w:ind w:left="1416"/>
        <w:jc w:val="both"/>
        <w:rPr>
          <w:rFonts w:ascii="Arial" w:hAnsi="Arial" w:cs="Arial"/>
          <w:i/>
          <w:sz w:val="20"/>
          <w:szCs w:val="20"/>
          <w:lang w:val="en-US"/>
        </w:rPr>
      </w:pPr>
      <w:r w:rsidRPr="008E1721">
        <w:rPr>
          <w:rFonts w:ascii="Arial" w:hAnsi="Arial" w:cs="Arial"/>
          <w:sz w:val="20"/>
          <w:szCs w:val="20"/>
          <w:lang w:val="en-US"/>
        </w:rPr>
        <w:t>“</w:t>
      </w:r>
      <w:r w:rsidR="00A027A9" w:rsidRPr="008E1721">
        <w:rPr>
          <w:rFonts w:ascii="Arial" w:hAnsi="Arial" w:cs="Arial"/>
          <w:i/>
          <w:sz w:val="20"/>
          <w:szCs w:val="20"/>
          <w:lang w:val="en-US"/>
        </w:rPr>
        <w:t xml:space="preserve">First, </w:t>
      </w:r>
      <w:r w:rsidR="00A027A9" w:rsidRPr="00F36836">
        <w:rPr>
          <w:rFonts w:ascii="Arial" w:hAnsi="Arial" w:cs="Arial"/>
          <w:b/>
          <w:i/>
          <w:sz w:val="20"/>
          <w:szCs w:val="20"/>
          <w:lang w:val="en-US"/>
        </w:rPr>
        <w:t>‘high’</w:t>
      </w:r>
      <w:r w:rsidR="008E1721" w:rsidRPr="00F36836">
        <w:rPr>
          <w:rFonts w:ascii="Arial" w:hAnsi="Arial" w:cs="Arial"/>
          <w:b/>
          <w:i/>
          <w:sz w:val="20"/>
          <w:szCs w:val="20"/>
          <w:lang w:val="en-US"/>
        </w:rPr>
        <w:t xml:space="preserve"> or ‘very high’ seller concentration in an industry generally seems to be conducive to poor performance</w:t>
      </w:r>
      <w:r w:rsidR="008E1721">
        <w:rPr>
          <w:rFonts w:ascii="Arial" w:hAnsi="Arial" w:cs="Arial"/>
          <w:i/>
          <w:sz w:val="20"/>
          <w:szCs w:val="20"/>
          <w:lang w:val="en-US"/>
        </w:rPr>
        <w:t xml:space="preserve"> in the crucial matter of price-cost relations or </w:t>
      </w:r>
      <w:r w:rsidR="004033E9">
        <w:rPr>
          <w:rFonts w:ascii="Arial" w:hAnsi="Arial" w:cs="Arial"/>
          <w:i/>
          <w:sz w:val="20"/>
          <w:szCs w:val="20"/>
          <w:lang w:val="en-US"/>
        </w:rPr>
        <w:t xml:space="preserve">profits, without evidently bestowing offsetting advantages in other dimensions of market performance. </w:t>
      </w:r>
      <w:r w:rsidR="00900799" w:rsidRPr="0008608E">
        <w:rPr>
          <w:rFonts w:ascii="Arial" w:hAnsi="Arial" w:cs="Arial"/>
          <w:i/>
          <w:sz w:val="20"/>
          <w:szCs w:val="20"/>
          <w:lang w:val="en-US"/>
        </w:rPr>
        <w:t>Tentative</w:t>
      </w:r>
      <w:r w:rsidR="0008608E" w:rsidRPr="0008608E">
        <w:rPr>
          <w:rFonts w:ascii="Arial" w:hAnsi="Arial" w:cs="Arial"/>
          <w:i/>
          <w:sz w:val="20"/>
          <w:szCs w:val="20"/>
          <w:lang w:val="en-US"/>
        </w:rPr>
        <w:t xml:space="preserve"> indications are that if the seller concentration exceeds that in which </w:t>
      </w:r>
      <w:r w:rsidR="0008608E" w:rsidRPr="0008608E">
        <w:rPr>
          <w:rFonts w:ascii="Arial" w:hAnsi="Arial" w:cs="Arial"/>
          <w:b/>
          <w:i/>
          <w:sz w:val="20"/>
          <w:szCs w:val="20"/>
          <w:lang w:val="en-US"/>
        </w:rPr>
        <w:t>the largest eight sellers supply from two-thirds to three-fourths of the output of an industry (the number and sizes of smaller sellers occurring as they usually do in these cases), there is a strong disposition toward significant monopolistic price-raising and excess profits</w:t>
      </w:r>
      <w:r w:rsidR="0008608E" w:rsidRPr="0008608E">
        <w:rPr>
          <w:rFonts w:ascii="Arial" w:hAnsi="Arial" w:cs="Arial"/>
          <w:i/>
          <w:sz w:val="20"/>
          <w:szCs w:val="20"/>
          <w:lang w:val="en-US"/>
        </w:rPr>
        <w:t xml:space="preserve">. On the other hand, </w:t>
      </w:r>
      <w:r w:rsidR="0008608E" w:rsidRPr="0008608E">
        <w:rPr>
          <w:rFonts w:ascii="Arial" w:hAnsi="Arial" w:cs="Arial"/>
          <w:b/>
          <w:i/>
          <w:sz w:val="20"/>
          <w:szCs w:val="20"/>
          <w:lang w:val="en-US"/>
        </w:rPr>
        <w:t>in industries where seller concentration is ‘moderate’ or less, so that, for example, the largest eight sellers supply less than two-thirds of the output of an industry, there is on the average a disposition toward much slighter excess profits and much closer approximation to a competitive price-cost and output adjustment</w:t>
      </w:r>
      <w:r w:rsidR="0008608E" w:rsidRPr="0008608E">
        <w:rPr>
          <w:rFonts w:ascii="Arial" w:hAnsi="Arial" w:cs="Arial"/>
          <w:i/>
          <w:sz w:val="20"/>
          <w:szCs w:val="20"/>
          <w:lang w:val="en-US"/>
        </w:rPr>
        <w:t xml:space="preserve">. At the </w:t>
      </w:r>
      <w:r w:rsidR="0008608E" w:rsidRPr="0008608E">
        <w:rPr>
          <w:rFonts w:ascii="Arial" w:hAnsi="Arial" w:cs="Arial"/>
          <w:i/>
          <w:sz w:val="20"/>
          <w:szCs w:val="20"/>
          <w:lang w:val="en-US"/>
        </w:rPr>
        <w:lastRenderedPageBreak/>
        <w:t>same time, performance in other hand respects is not evidently poorer on the average than it is in highly concentrated industries.</w:t>
      </w:r>
    </w:p>
    <w:p w:rsidR="0035761A" w:rsidRDefault="0035761A" w:rsidP="00A828BA">
      <w:pPr>
        <w:ind w:left="1416"/>
        <w:jc w:val="both"/>
        <w:rPr>
          <w:rFonts w:ascii="Arial" w:hAnsi="Arial" w:cs="Arial"/>
          <w:i/>
          <w:sz w:val="20"/>
          <w:szCs w:val="20"/>
          <w:lang w:val="en-US"/>
        </w:rPr>
      </w:pPr>
    </w:p>
    <w:p w:rsidR="0008608E" w:rsidRPr="0008608E" w:rsidRDefault="0008608E" w:rsidP="00A828BA">
      <w:pPr>
        <w:ind w:left="1416"/>
        <w:jc w:val="both"/>
        <w:rPr>
          <w:rFonts w:ascii="Arial" w:hAnsi="Arial" w:cs="Arial"/>
          <w:i/>
          <w:sz w:val="20"/>
          <w:szCs w:val="20"/>
          <w:lang w:val="en-US"/>
        </w:rPr>
      </w:pPr>
      <w:r w:rsidRPr="0008608E">
        <w:rPr>
          <w:rFonts w:ascii="Arial" w:hAnsi="Arial" w:cs="Arial"/>
          <w:i/>
          <w:sz w:val="20"/>
          <w:szCs w:val="20"/>
          <w:lang w:val="en-US"/>
        </w:rPr>
        <w:t xml:space="preserve">Thus, </w:t>
      </w:r>
      <w:r w:rsidRPr="0008608E">
        <w:rPr>
          <w:rFonts w:ascii="Arial" w:hAnsi="Arial" w:cs="Arial"/>
          <w:b/>
          <w:i/>
          <w:sz w:val="20"/>
          <w:szCs w:val="20"/>
          <w:lang w:val="en-US"/>
        </w:rPr>
        <w:t>as a matter of public policy, it would be salutary to preserve and as necessary create market structures that are no more than moderately concentrated on the sellers’ side</w:t>
      </w:r>
      <w:r w:rsidRPr="0008608E">
        <w:rPr>
          <w:rFonts w:ascii="Arial" w:hAnsi="Arial" w:cs="Arial"/>
          <w:i/>
          <w:sz w:val="20"/>
          <w:szCs w:val="20"/>
          <w:lang w:val="en-US"/>
        </w:rPr>
        <w:t xml:space="preserve">. This rule is applicable, at any rate, to all industries except those in which economies of large-scale production are so great as to require high or very high seller concentration in order to secure plants and firms of optimally efficient scale. And it appears from evidence that this sort of exception will arise only in a </w:t>
      </w:r>
      <w:r w:rsidRPr="0035761A">
        <w:rPr>
          <w:rFonts w:ascii="Arial" w:hAnsi="Arial" w:cs="Arial"/>
          <w:b/>
          <w:i/>
          <w:sz w:val="20"/>
          <w:szCs w:val="20"/>
          <w:lang w:val="en-US"/>
        </w:rPr>
        <w:t>very small minority of cases</w:t>
      </w:r>
      <w:r w:rsidRPr="0008608E">
        <w:rPr>
          <w:rFonts w:ascii="Arial" w:hAnsi="Arial" w:cs="Arial"/>
          <w:i/>
          <w:sz w:val="20"/>
          <w:szCs w:val="20"/>
          <w:lang w:val="en-US"/>
        </w:rPr>
        <w:t>. In these exceptional cases, of course, high seller concentration may have to be accepted and dealt with in order to secure technical efficiency, and there is a fundamental impossibility of securing a market structure which is conducive to good performance in all important respects.</w:t>
      </w:r>
    </w:p>
    <w:p w:rsidR="0035761A" w:rsidRDefault="0035761A" w:rsidP="00A828BA">
      <w:pPr>
        <w:ind w:left="1416"/>
        <w:jc w:val="both"/>
        <w:rPr>
          <w:rFonts w:ascii="Arial" w:hAnsi="Arial" w:cs="Arial"/>
          <w:i/>
          <w:sz w:val="20"/>
          <w:szCs w:val="20"/>
          <w:lang w:val="en-US"/>
        </w:rPr>
      </w:pPr>
    </w:p>
    <w:p w:rsidR="001710AE" w:rsidRPr="00AD581E" w:rsidRDefault="0008608E" w:rsidP="00A828BA">
      <w:pPr>
        <w:ind w:left="1416"/>
        <w:jc w:val="both"/>
        <w:rPr>
          <w:rFonts w:ascii="Arial" w:hAnsi="Arial" w:cs="Arial"/>
          <w:i/>
          <w:sz w:val="20"/>
          <w:szCs w:val="20"/>
        </w:rPr>
      </w:pPr>
      <w:r w:rsidRPr="0008608E">
        <w:rPr>
          <w:rFonts w:ascii="Arial" w:hAnsi="Arial" w:cs="Arial"/>
          <w:i/>
          <w:sz w:val="20"/>
          <w:szCs w:val="20"/>
          <w:lang w:val="en-US"/>
        </w:rPr>
        <w:t>It is not evident from available findings that market performance in industries with low seller concentration or relatively atomistic structures tends to be systematically better or worse than that in industr</w:t>
      </w:r>
      <w:r>
        <w:rPr>
          <w:rFonts w:ascii="Arial" w:hAnsi="Arial" w:cs="Arial"/>
          <w:i/>
          <w:sz w:val="20"/>
          <w:szCs w:val="20"/>
          <w:lang w:val="en-US"/>
        </w:rPr>
        <w:t>ies of moderate concentration</w:t>
      </w:r>
      <w:r w:rsidRPr="0008608E">
        <w:rPr>
          <w:rFonts w:ascii="Arial" w:hAnsi="Arial" w:cs="Arial"/>
          <w:sz w:val="20"/>
          <w:szCs w:val="20"/>
          <w:lang w:val="en-US"/>
        </w:rPr>
        <w:t>”</w:t>
      </w:r>
      <w:r>
        <w:rPr>
          <w:rFonts w:ascii="Arial" w:hAnsi="Arial" w:cs="Arial"/>
          <w:sz w:val="20"/>
          <w:szCs w:val="20"/>
          <w:lang w:val="en-US"/>
        </w:rPr>
        <w:t xml:space="preserve">. </w:t>
      </w:r>
      <w:r w:rsidRPr="00AD581E">
        <w:rPr>
          <w:rFonts w:ascii="Arial" w:hAnsi="Arial" w:cs="Arial"/>
          <w:sz w:val="20"/>
          <w:szCs w:val="20"/>
        </w:rPr>
        <w:t>(Destacamos)</w:t>
      </w:r>
    </w:p>
    <w:p w:rsidR="007001F1" w:rsidRPr="00AD581E" w:rsidRDefault="007001F1" w:rsidP="00E53324">
      <w:pPr>
        <w:jc w:val="both"/>
        <w:rPr>
          <w:rFonts w:ascii="Arial" w:hAnsi="Arial" w:cs="Arial"/>
          <w:b/>
          <w:i/>
        </w:rPr>
      </w:pPr>
    </w:p>
    <w:p w:rsidR="00254A26" w:rsidRDefault="00AD61E0" w:rsidP="00AC584B">
      <w:pPr>
        <w:jc w:val="both"/>
        <w:rPr>
          <w:rFonts w:ascii="Arial" w:hAnsi="Arial" w:cs="Arial"/>
        </w:rPr>
      </w:pPr>
      <w:r w:rsidRPr="00AD581E">
        <w:rPr>
          <w:rFonts w:ascii="Arial" w:hAnsi="Arial" w:cs="Arial"/>
        </w:rPr>
        <w:tab/>
      </w:r>
      <w:r w:rsidRPr="000B3A9D">
        <w:rPr>
          <w:rFonts w:ascii="Arial" w:hAnsi="Arial" w:cs="Arial"/>
        </w:rPr>
        <w:t xml:space="preserve">Ainda nesse sentido, </w:t>
      </w:r>
      <w:r w:rsidR="000B3A9D" w:rsidRPr="000B3A9D">
        <w:rPr>
          <w:rFonts w:ascii="Arial" w:hAnsi="Arial" w:cs="Arial"/>
        </w:rPr>
        <w:t xml:space="preserve">é interessante mencionar que </w:t>
      </w:r>
      <w:r w:rsidR="000B3A9D">
        <w:rPr>
          <w:rFonts w:ascii="Arial" w:hAnsi="Arial" w:cs="Arial"/>
        </w:rPr>
        <w:t>o artigo d</w:t>
      </w:r>
      <w:r w:rsidR="00BD2ACE">
        <w:rPr>
          <w:rFonts w:ascii="Arial" w:hAnsi="Arial" w:cs="Arial"/>
        </w:rPr>
        <w:t>e</w:t>
      </w:r>
      <w:r w:rsidR="000B3A9D">
        <w:rPr>
          <w:rFonts w:ascii="Arial" w:hAnsi="Arial" w:cs="Arial"/>
        </w:rPr>
        <w:t xml:space="preserve"> </w:t>
      </w:r>
      <w:r w:rsidR="00AB68A2">
        <w:rPr>
          <w:rFonts w:ascii="Arial" w:hAnsi="Arial" w:cs="Arial"/>
        </w:rPr>
        <w:t>P</w:t>
      </w:r>
      <w:r w:rsidR="00BD2ACE">
        <w:rPr>
          <w:rFonts w:ascii="Arial" w:hAnsi="Arial" w:cs="Arial"/>
        </w:rPr>
        <w:t>OSSAS</w:t>
      </w:r>
      <w:r w:rsidR="00AB68A2">
        <w:rPr>
          <w:rFonts w:ascii="Arial" w:hAnsi="Arial" w:cs="Arial"/>
        </w:rPr>
        <w:t>, citado na Nota Técnica nº </w:t>
      </w:r>
      <w:r w:rsidR="00AB68A2" w:rsidRPr="00262CFE">
        <w:rPr>
          <w:rFonts w:ascii="Arial" w:hAnsi="Arial" w:cs="Arial"/>
        </w:rPr>
        <w:t>366/SAB/12</w:t>
      </w:r>
      <w:r w:rsidR="00AB68A2">
        <w:rPr>
          <w:rFonts w:ascii="Arial" w:hAnsi="Arial" w:cs="Arial"/>
        </w:rPr>
        <w:t xml:space="preserve">, visa explicar em linhas gerais </w:t>
      </w:r>
      <w:r w:rsidR="00697DDC">
        <w:rPr>
          <w:rFonts w:ascii="Arial" w:hAnsi="Arial" w:cs="Arial"/>
        </w:rPr>
        <w:t>os argumentos da</w:t>
      </w:r>
      <w:r w:rsidR="00BD2ACE">
        <w:rPr>
          <w:rFonts w:ascii="Arial" w:hAnsi="Arial" w:cs="Arial"/>
        </w:rPr>
        <w:t>s</w:t>
      </w:r>
      <w:r w:rsidR="00697DDC">
        <w:rPr>
          <w:rFonts w:ascii="Arial" w:hAnsi="Arial" w:cs="Arial"/>
        </w:rPr>
        <w:t xml:space="preserve"> teoria</w:t>
      </w:r>
      <w:r w:rsidR="00BD2ACE">
        <w:rPr>
          <w:rFonts w:ascii="Arial" w:hAnsi="Arial" w:cs="Arial"/>
        </w:rPr>
        <w:t>s</w:t>
      </w:r>
      <w:r w:rsidR="00697DDC">
        <w:rPr>
          <w:rFonts w:ascii="Arial" w:hAnsi="Arial" w:cs="Arial"/>
        </w:rPr>
        <w:t xml:space="preserve"> Schumpeteriana e neo-Schumpeteriana,</w:t>
      </w:r>
      <w:r w:rsidR="00BD2ACE">
        <w:rPr>
          <w:rFonts w:ascii="Arial" w:hAnsi="Arial" w:cs="Arial"/>
        </w:rPr>
        <w:t xml:space="preserve"> em</w:t>
      </w:r>
      <w:r w:rsidR="00697DDC">
        <w:rPr>
          <w:rFonts w:ascii="Arial" w:hAnsi="Arial" w:cs="Arial"/>
        </w:rPr>
        <w:t xml:space="preserve"> qu</w:t>
      </w:r>
      <w:r w:rsidR="00BD2ACE">
        <w:rPr>
          <w:rFonts w:ascii="Arial" w:hAnsi="Arial" w:cs="Arial"/>
        </w:rPr>
        <w:t>e</w:t>
      </w:r>
      <w:r w:rsidR="00697DDC">
        <w:rPr>
          <w:rFonts w:ascii="Arial" w:hAnsi="Arial" w:cs="Arial"/>
        </w:rPr>
        <w:t xml:space="preserve"> inovações </w:t>
      </w:r>
      <w:r w:rsidR="00697DDC">
        <w:rPr>
          <w:rFonts w:ascii="Arial" w:hAnsi="Arial" w:cs="Arial"/>
          <w:i/>
        </w:rPr>
        <w:t>lato sensu</w:t>
      </w:r>
      <w:r w:rsidR="00697DDC">
        <w:rPr>
          <w:rFonts w:ascii="Arial" w:hAnsi="Arial" w:cs="Arial"/>
        </w:rPr>
        <w:t xml:space="preserve"> seriam fatores de concorrência e competitividade e, portanto, não poderiam ser negligenciadas na análise </w:t>
      </w:r>
      <w:r w:rsidR="000C7732">
        <w:rPr>
          <w:rFonts w:ascii="Arial" w:hAnsi="Arial" w:cs="Arial"/>
        </w:rPr>
        <w:t>das estruturas e modelos competiti</w:t>
      </w:r>
      <w:r w:rsidR="008431EF">
        <w:rPr>
          <w:rFonts w:ascii="Arial" w:hAnsi="Arial" w:cs="Arial"/>
        </w:rPr>
        <w:t xml:space="preserve">vos. Sobre este ponto, cabe aqui um breve questionamento </w:t>
      </w:r>
      <w:r w:rsidR="000C7732">
        <w:rPr>
          <w:rFonts w:ascii="Arial" w:hAnsi="Arial" w:cs="Arial"/>
        </w:rPr>
        <w:t xml:space="preserve">sobre quais seriam as inovações </w:t>
      </w:r>
      <w:r w:rsidR="008431EF">
        <w:rPr>
          <w:rFonts w:ascii="Arial" w:hAnsi="Arial" w:cs="Arial"/>
        </w:rPr>
        <w:t>existentes ou buscadas por esta regra de embandeiramento?</w:t>
      </w:r>
    </w:p>
    <w:p w:rsidR="008431EF" w:rsidRDefault="008431EF" w:rsidP="00AC584B">
      <w:pPr>
        <w:jc w:val="both"/>
        <w:rPr>
          <w:rFonts w:ascii="Arial" w:hAnsi="Arial" w:cs="Arial"/>
        </w:rPr>
      </w:pPr>
    </w:p>
    <w:p w:rsidR="00E53324" w:rsidRDefault="008431EF" w:rsidP="00AC584B">
      <w:pPr>
        <w:jc w:val="both"/>
        <w:rPr>
          <w:rFonts w:ascii="Arial" w:hAnsi="Arial" w:cs="Arial"/>
        </w:rPr>
      </w:pPr>
      <w:r>
        <w:rPr>
          <w:rFonts w:ascii="Arial" w:hAnsi="Arial" w:cs="Arial"/>
        </w:rPr>
        <w:tab/>
      </w:r>
      <w:r w:rsidRPr="0035761A">
        <w:rPr>
          <w:rFonts w:ascii="Arial" w:hAnsi="Arial" w:cs="Arial"/>
          <w:b/>
          <w:i/>
        </w:rPr>
        <w:t>Prima facie</w:t>
      </w:r>
      <w:r w:rsidRPr="0035761A">
        <w:rPr>
          <w:rFonts w:ascii="Arial" w:hAnsi="Arial" w:cs="Arial"/>
          <w:b/>
        </w:rPr>
        <w:t>, nos parece</w:t>
      </w:r>
      <w:r w:rsidR="00BA2654" w:rsidRPr="0035761A">
        <w:rPr>
          <w:rFonts w:ascii="Arial" w:hAnsi="Arial" w:cs="Arial"/>
          <w:b/>
        </w:rPr>
        <w:t xml:space="preserve"> haver nenhuma</w:t>
      </w:r>
      <w:r w:rsidR="00BA2654">
        <w:rPr>
          <w:rFonts w:ascii="Arial" w:hAnsi="Arial" w:cs="Arial"/>
        </w:rPr>
        <w:t>. Afinal, o embandeiramento</w:t>
      </w:r>
      <w:r w:rsidR="00804C53">
        <w:rPr>
          <w:rFonts w:ascii="Arial" w:hAnsi="Arial" w:cs="Arial"/>
        </w:rPr>
        <w:t>,</w:t>
      </w:r>
      <w:r w:rsidR="00BA2654">
        <w:rPr>
          <w:rFonts w:ascii="Arial" w:hAnsi="Arial" w:cs="Arial"/>
        </w:rPr>
        <w:t xml:space="preserve"> nú e cr</w:t>
      </w:r>
      <w:r w:rsidR="00804C53">
        <w:rPr>
          <w:rFonts w:ascii="Arial" w:hAnsi="Arial" w:cs="Arial"/>
        </w:rPr>
        <w:t xml:space="preserve">ú – </w:t>
      </w:r>
      <w:r w:rsidR="00BA2654">
        <w:rPr>
          <w:rFonts w:ascii="Arial" w:hAnsi="Arial" w:cs="Arial"/>
        </w:rPr>
        <w:t xml:space="preserve">ou seja, sem qualquer obrigação maior da distribuidora quanto ao controle </w:t>
      </w:r>
      <w:r w:rsidR="00E53324">
        <w:rPr>
          <w:rFonts w:ascii="Arial" w:hAnsi="Arial" w:cs="Arial"/>
        </w:rPr>
        <w:t xml:space="preserve">efetivo, e não meramente proforma, </w:t>
      </w:r>
      <w:r w:rsidR="00BA2654">
        <w:rPr>
          <w:rFonts w:ascii="Arial" w:hAnsi="Arial" w:cs="Arial"/>
        </w:rPr>
        <w:t xml:space="preserve">da qualidade dos </w:t>
      </w:r>
      <w:r w:rsidR="003766DE">
        <w:rPr>
          <w:rFonts w:ascii="Arial" w:hAnsi="Arial" w:cs="Arial"/>
        </w:rPr>
        <w:t>combustíveis comercializados por seus postos bandeirados</w:t>
      </w:r>
      <w:r w:rsidR="00804C53">
        <w:rPr>
          <w:rFonts w:ascii="Arial" w:hAnsi="Arial" w:cs="Arial"/>
        </w:rPr>
        <w:t xml:space="preserve"> – </w:t>
      </w:r>
      <w:r w:rsidR="00BA2654">
        <w:rPr>
          <w:rFonts w:ascii="Arial" w:hAnsi="Arial" w:cs="Arial"/>
        </w:rPr>
        <w:t xml:space="preserve">nada mais é do </w:t>
      </w:r>
      <w:r w:rsidR="003766DE">
        <w:rPr>
          <w:rFonts w:ascii="Arial" w:hAnsi="Arial" w:cs="Arial"/>
        </w:rPr>
        <w:t>que uma forma de alterar o modelo de concorr</w:t>
      </w:r>
      <w:r w:rsidR="008F7FE5">
        <w:rPr>
          <w:rFonts w:ascii="Arial" w:hAnsi="Arial" w:cs="Arial"/>
        </w:rPr>
        <w:t>ência “</w:t>
      </w:r>
      <w:r w:rsidR="008F7FE5" w:rsidRPr="008F7FE5">
        <w:rPr>
          <w:rFonts w:ascii="Arial" w:hAnsi="Arial" w:cs="Arial"/>
        </w:rPr>
        <w:t>no</w:t>
      </w:r>
      <w:r w:rsidR="008F7FE5">
        <w:rPr>
          <w:rFonts w:ascii="Arial" w:hAnsi="Arial" w:cs="Arial"/>
        </w:rPr>
        <w:t xml:space="preserve"> mer</w:t>
      </w:r>
      <w:r w:rsidR="00E53324">
        <w:rPr>
          <w:rFonts w:ascii="Arial" w:hAnsi="Arial" w:cs="Arial"/>
        </w:rPr>
        <w:t>cado</w:t>
      </w:r>
      <w:r w:rsidR="00164509">
        <w:rPr>
          <w:rFonts w:ascii="Arial" w:hAnsi="Arial" w:cs="Arial"/>
        </w:rPr>
        <w:t>”</w:t>
      </w:r>
      <w:r w:rsidR="00E53324">
        <w:rPr>
          <w:rFonts w:ascii="Arial" w:hAnsi="Arial" w:cs="Arial"/>
        </w:rPr>
        <w:t>, por aquele “pelo mercado</w:t>
      </w:r>
      <w:r w:rsidR="00164509">
        <w:rPr>
          <w:rFonts w:ascii="Arial" w:hAnsi="Arial" w:cs="Arial"/>
        </w:rPr>
        <w:t>”</w:t>
      </w:r>
      <w:r w:rsidR="00E53324">
        <w:rPr>
          <w:rFonts w:ascii="Arial" w:hAnsi="Arial" w:cs="Arial"/>
        </w:rPr>
        <w:t>. Nesse modelo de concorrência “pelo mercado</w:t>
      </w:r>
      <w:r w:rsidR="00164509">
        <w:rPr>
          <w:rFonts w:ascii="Arial" w:hAnsi="Arial" w:cs="Arial"/>
        </w:rPr>
        <w:t>”</w:t>
      </w:r>
      <w:r w:rsidR="00E53324">
        <w:rPr>
          <w:rFonts w:ascii="Arial" w:hAnsi="Arial" w:cs="Arial"/>
        </w:rPr>
        <w:t xml:space="preserve">, </w:t>
      </w:r>
      <w:r w:rsidR="00E53324" w:rsidRPr="00BF7CCA">
        <w:rPr>
          <w:rFonts w:ascii="Arial" w:hAnsi="Arial" w:cs="Arial"/>
          <w:b/>
        </w:rPr>
        <w:t xml:space="preserve">as distribuidoras buscam fechar contratos de exclusividade de longo prazo, ao invés de garantir o menor preço, maior oferta </w:t>
      </w:r>
      <w:r w:rsidR="00164509" w:rsidRPr="00BF7CCA">
        <w:rPr>
          <w:rFonts w:ascii="Arial" w:hAnsi="Arial" w:cs="Arial"/>
          <w:b/>
        </w:rPr>
        <w:t xml:space="preserve">de combustíveis </w:t>
      </w:r>
      <w:r w:rsidR="00E53324" w:rsidRPr="00BF7CCA">
        <w:rPr>
          <w:rFonts w:ascii="Arial" w:hAnsi="Arial" w:cs="Arial"/>
          <w:b/>
        </w:rPr>
        <w:t>ou melhor qualidade</w:t>
      </w:r>
      <w:r w:rsidR="00164509" w:rsidRPr="00BF7CCA">
        <w:rPr>
          <w:rFonts w:ascii="Arial" w:hAnsi="Arial" w:cs="Arial"/>
          <w:b/>
        </w:rPr>
        <w:t xml:space="preserve"> dos serviços prestados por seus revendedores bandeirados</w:t>
      </w:r>
      <w:r w:rsidR="00E53324">
        <w:rPr>
          <w:rFonts w:ascii="Arial" w:hAnsi="Arial" w:cs="Arial"/>
        </w:rPr>
        <w:t xml:space="preserve">. </w:t>
      </w:r>
    </w:p>
    <w:p w:rsidR="00D57E6E" w:rsidRDefault="00D57E6E" w:rsidP="00AC584B">
      <w:pPr>
        <w:jc w:val="both"/>
        <w:rPr>
          <w:rFonts w:ascii="Arial" w:hAnsi="Arial" w:cs="Arial"/>
        </w:rPr>
      </w:pPr>
    </w:p>
    <w:p w:rsidR="00DE229A" w:rsidRDefault="00DE229A" w:rsidP="00A46B40">
      <w:pPr>
        <w:ind w:firstLine="708"/>
        <w:jc w:val="both"/>
        <w:rPr>
          <w:rFonts w:ascii="Arial" w:hAnsi="Arial" w:cs="Arial"/>
        </w:rPr>
      </w:pPr>
      <w:r>
        <w:rPr>
          <w:rFonts w:ascii="Arial" w:hAnsi="Arial" w:cs="Arial"/>
        </w:rPr>
        <w:t xml:space="preserve">Em alguns mercados de bens diferenciados, esta concorrência </w:t>
      </w:r>
      <w:r w:rsidR="00D57E6E">
        <w:rPr>
          <w:rFonts w:ascii="Arial" w:hAnsi="Arial" w:cs="Arial"/>
        </w:rPr>
        <w:t>“</w:t>
      </w:r>
      <w:r w:rsidR="00E32E50">
        <w:rPr>
          <w:rFonts w:ascii="Arial" w:hAnsi="Arial" w:cs="Arial"/>
        </w:rPr>
        <w:t>pelo mercado</w:t>
      </w:r>
      <w:r w:rsidR="00164509">
        <w:rPr>
          <w:rFonts w:ascii="Arial" w:hAnsi="Arial" w:cs="Arial"/>
        </w:rPr>
        <w:t>”</w:t>
      </w:r>
      <w:r w:rsidR="00E32E50">
        <w:rPr>
          <w:rFonts w:ascii="Arial" w:hAnsi="Arial" w:cs="Arial"/>
        </w:rPr>
        <w:t xml:space="preserve"> pode</w:t>
      </w:r>
      <w:r w:rsidR="00D57E6E">
        <w:rPr>
          <w:rFonts w:ascii="Arial" w:hAnsi="Arial" w:cs="Arial"/>
        </w:rPr>
        <w:t>,</w:t>
      </w:r>
      <w:r w:rsidR="00E32E50">
        <w:rPr>
          <w:rFonts w:ascii="Arial" w:hAnsi="Arial" w:cs="Arial"/>
        </w:rPr>
        <w:t xml:space="preserve"> dependendo de algumas condições, </w:t>
      </w:r>
      <w:r w:rsidR="00D57E6E">
        <w:rPr>
          <w:rFonts w:ascii="Arial" w:hAnsi="Arial" w:cs="Arial"/>
        </w:rPr>
        <w:t xml:space="preserve">até </w:t>
      </w:r>
      <w:r w:rsidR="00E32E50">
        <w:rPr>
          <w:rFonts w:ascii="Arial" w:hAnsi="Arial" w:cs="Arial"/>
        </w:rPr>
        <w:t xml:space="preserve">ser bastante benéfica para a corrida por inovações e </w:t>
      </w:r>
      <w:r w:rsidR="00062695">
        <w:rPr>
          <w:rFonts w:ascii="Arial" w:hAnsi="Arial" w:cs="Arial"/>
        </w:rPr>
        <w:t xml:space="preserve">eventual </w:t>
      </w:r>
      <w:r w:rsidR="00E32E50">
        <w:rPr>
          <w:rFonts w:ascii="Arial" w:hAnsi="Arial" w:cs="Arial"/>
        </w:rPr>
        <w:t xml:space="preserve">conquista de uma </w:t>
      </w:r>
      <w:r w:rsidR="00062695">
        <w:rPr>
          <w:rFonts w:ascii="Arial" w:hAnsi="Arial" w:cs="Arial"/>
        </w:rPr>
        <w:t xml:space="preserve">hegemonia (monopólio) da empresa </w:t>
      </w:r>
      <w:r w:rsidR="00164509">
        <w:rPr>
          <w:rFonts w:ascii="Arial" w:hAnsi="Arial" w:cs="Arial"/>
        </w:rPr>
        <w:t xml:space="preserve">inovadora </w:t>
      </w:r>
      <w:r w:rsidR="00E32E50">
        <w:rPr>
          <w:rFonts w:ascii="Arial" w:hAnsi="Arial" w:cs="Arial"/>
        </w:rPr>
        <w:t>no curto prazo. No entanto, no caso d</w:t>
      </w:r>
      <w:r w:rsidR="00BF7CCA">
        <w:rPr>
          <w:rFonts w:ascii="Arial" w:hAnsi="Arial" w:cs="Arial"/>
        </w:rPr>
        <w:t>o mercado de</w:t>
      </w:r>
      <w:r w:rsidR="00E32E50">
        <w:rPr>
          <w:rFonts w:ascii="Arial" w:hAnsi="Arial" w:cs="Arial"/>
        </w:rPr>
        <w:t xml:space="preserve"> combust</w:t>
      </w:r>
      <w:r w:rsidR="006C6C61">
        <w:rPr>
          <w:rFonts w:ascii="Arial" w:hAnsi="Arial" w:cs="Arial"/>
        </w:rPr>
        <w:t>íveis, onde claramente o nível de diferenciação dos produtos e dos serviços acessórios ofertados pel</w:t>
      </w:r>
      <w:r w:rsidR="00BF7CCA">
        <w:rPr>
          <w:rFonts w:ascii="Arial" w:hAnsi="Arial" w:cs="Arial"/>
        </w:rPr>
        <w:t>a</w:t>
      </w:r>
      <w:r w:rsidR="006C6C61">
        <w:rPr>
          <w:rFonts w:ascii="Arial" w:hAnsi="Arial" w:cs="Arial"/>
        </w:rPr>
        <w:t xml:space="preserve">s </w:t>
      </w:r>
      <w:r w:rsidR="00BF7CCA">
        <w:rPr>
          <w:rFonts w:ascii="Arial" w:hAnsi="Arial" w:cs="Arial"/>
        </w:rPr>
        <w:t>distribuidoras e revendedores</w:t>
      </w:r>
      <w:r w:rsidR="006C6C61">
        <w:rPr>
          <w:rFonts w:ascii="Arial" w:hAnsi="Arial" w:cs="Arial"/>
        </w:rPr>
        <w:t xml:space="preserve"> é baixo </w:t>
      </w:r>
      <w:r w:rsidR="00A46B40">
        <w:rPr>
          <w:rFonts w:ascii="Arial" w:hAnsi="Arial" w:cs="Arial"/>
        </w:rPr>
        <w:t xml:space="preserve">– </w:t>
      </w:r>
      <w:r w:rsidR="006C6C61">
        <w:rPr>
          <w:rFonts w:ascii="Arial" w:hAnsi="Arial" w:cs="Arial"/>
        </w:rPr>
        <w:t xml:space="preserve">ou </w:t>
      </w:r>
      <w:r w:rsidR="00062695">
        <w:rPr>
          <w:rFonts w:ascii="Arial" w:hAnsi="Arial" w:cs="Arial"/>
        </w:rPr>
        <w:t>até mesmo</w:t>
      </w:r>
      <w:r w:rsidR="006C6C61">
        <w:rPr>
          <w:rFonts w:ascii="Arial" w:hAnsi="Arial" w:cs="Arial"/>
        </w:rPr>
        <w:t xml:space="preserve"> inexistente</w:t>
      </w:r>
      <w:r w:rsidR="00A46B40">
        <w:rPr>
          <w:rFonts w:ascii="Arial" w:hAnsi="Arial" w:cs="Arial"/>
        </w:rPr>
        <w:t xml:space="preserve"> –</w:t>
      </w:r>
      <w:r w:rsidR="006C6C61">
        <w:rPr>
          <w:rFonts w:ascii="Arial" w:hAnsi="Arial" w:cs="Arial"/>
        </w:rPr>
        <w:t>, esta corrida pela “inovação” parece-nos, no mínimo</w:t>
      </w:r>
      <w:r w:rsidR="00912DF1">
        <w:rPr>
          <w:rFonts w:ascii="Arial" w:hAnsi="Arial" w:cs="Arial"/>
        </w:rPr>
        <w:t>, super</w:t>
      </w:r>
      <w:r w:rsidR="00E53324">
        <w:rPr>
          <w:rFonts w:ascii="Arial" w:hAnsi="Arial" w:cs="Arial"/>
        </w:rPr>
        <w:t>valorizada. Desta feita, acreditamos, mui respeitosamente,</w:t>
      </w:r>
      <w:r w:rsidR="006C6C61">
        <w:rPr>
          <w:rFonts w:ascii="Arial" w:hAnsi="Arial" w:cs="Arial"/>
        </w:rPr>
        <w:t xml:space="preserve"> que os ensinamentos e </w:t>
      </w:r>
      <w:r w:rsidR="0095056A">
        <w:rPr>
          <w:rFonts w:ascii="Arial" w:hAnsi="Arial" w:cs="Arial"/>
        </w:rPr>
        <w:t>explicações trazidas no artigo d</w:t>
      </w:r>
      <w:r w:rsidR="00164509">
        <w:rPr>
          <w:rFonts w:ascii="Arial" w:hAnsi="Arial" w:cs="Arial"/>
        </w:rPr>
        <w:t xml:space="preserve">e </w:t>
      </w:r>
      <w:r w:rsidR="0095056A">
        <w:rPr>
          <w:rFonts w:ascii="Arial" w:hAnsi="Arial" w:cs="Arial"/>
        </w:rPr>
        <w:t>P</w:t>
      </w:r>
      <w:r w:rsidR="00164509">
        <w:rPr>
          <w:rFonts w:ascii="Arial" w:hAnsi="Arial" w:cs="Arial"/>
        </w:rPr>
        <w:t>OSSAS</w:t>
      </w:r>
      <w:r w:rsidR="0095056A">
        <w:rPr>
          <w:rFonts w:ascii="Arial" w:hAnsi="Arial" w:cs="Arial"/>
        </w:rPr>
        <w:t xml:space="preserve"> sobre a concorrência Schump</w:t>
      </w:r>
      <w:r w:rsidR="00912DF1">
        <w:rPr>
          <w:rFonts w:ascii="Arial" w:hAnsi="Arial" w:cs="Arial"/>
        </w:rPr>
        <w:t>eteriana ou neo-Schumpeteriana é</w:t>
      </w:r>
      <w:r w:rsidR="0095056A">
        <w:rPr>
          <w:rFonts w:ascii="Arial" w:hAnsi="Arial" w:cs="Arial"/>
        </w:rPr>
        <w:t xml:space="preserve"> de pouca ou nenhuma valia para a presente discussão sobre o modelo de embadeiramento. </w:t>
      </w:r>
    </w:p>
    <w:p w:rsidR="0095056A" w:rsidRDefault="0095056A" w:rsidP="00AC584B">
      <w:pPr>
        <w:jc w:val="both"/>
        <w:rPr>
          <w:rFonts w:ascii="Arial" w:hAnsi="Arial" w:cs="Arial"/>
        </w:rPr>
      </w:pPr>
    </w:p>
    <w:p w:rsidR="00254A26" w:rsidRDefault="0095056A" w:rsidP="00AC584B">
      <w:pPr>
        <w:jc w:val="both"/>
        <w:rPr>
          <w:rFonts w:ascii="Arial" w:hAnsi="Arial" w:cs="Arial"/>
        </w:rPr>
      </w:pPr>
      <w:r>
        <w:rPr>
          <w:rFonts w:ascii="Arial" w:hAnsi="Arial" w:cs="Arial"/>
        </w:rPr>
        <w:lastRenderedPageBreak/>
        <w:tab/>
        <w:t xml:space="preserve">Ademais, </w:t>
      </w:r>
      <w:r w:rsidR="00804C53">
        <w:rPr>
          <w:rFonts w:ascii="Arial" w:hAnsi="Arial" w:cs="Arial"/>
        </w:rPr>
        <w:t xml:space="preserve">fica claro nos argumentos apresentados </w:t>
      </w:r>
      <w:r w:rsidR="00164509">
        <w:rPr>
          <w:rFonts w:ascii="Arial" w:hAnsi="Arial" w:cs="Arial"/>
        </w:rPr>
        <w:t xml:space="preserve">por </w:t>
      </w:r>
      <w:r w:rsidR="00804C53">
        <w:rPr>
          <w:rFonts w:ascii="Arial" w:hAnsi="Arial" w:cs="Arial"/>
        </w:rPr>
        <w:t>P</w:t>
      </w:r>
      <w:r w:rsidR="00164509">
        <w:rPr>
          <w:rFonts w:ascii="Arial" w:hAnsi="Arial" w:cs="Arial"/>
        </w:rPr>
        <w:t>OSSAS</w:t>
      </w:r>
      <w:r w:rsidR="00804C53">
        <w:rPr>
          <w:rFonts w:ascii="Arial" w:hAnsi="Arial" w:cs="Arial"/>
        </w:rPr>
        <w:t xml:space="preserve"> de que </w:t>
      </w:r>
      <w:r w:rsidR="00912DF1">
        <w:rPr>
          <w:rFonts w:ascii="Arial" w:hAnsi="Arial" w:cs="Arial"/>
        </w:rPr>
        <w:t>a competição pela inovação depende de uma série de fatores endógenos e exógenos dos mercados na qual seria introduzida e, nesse sentido, a própria regulação tem um papel importante</w:t>
      </w:r>
      <w:r w:rsidR="00164509">
        <w:rPr>
          <w:rFonts w:ascii="Arial" w:hAnsi="Arial" w:cs="Arial"/>
        </w:rPr>
        <w:t xml:space="preserve"> para garantir a concorrência e competitividade no mercado</w:t>
      </w:r>
      <w:r w:rsidR="00912DF1">
        <w:rPr>
          <w:rFonts w:ascii="Arial" w:hAnsi="Arial" w:cs="Arial"/>
        </w:rPr>
        <w:t>, conforme destaca o trecho transcrito abaixo</w:t>
      </w:r>
      <w:r w:rsidR="00BF7CCA">
        <w:rPr>
          <w:rFonts w:ascii="Arial" w:hAnsi="Arial" w:cs="Arial"/>
        </w:rPr>
        <w:t xml:space="preserve"> e retirado do mesmo artigo</w:t>
      </w:r>
      <w:r w:rsidR="00912DF1">
        <w:rPr>
          <w:rFonts w:ascii="Arial" w:hAnsi="Arial" w:cs="Arial"/>
        </w:rPr>
        <w:t xml:space="preserve">, </w:t>
      </w:r>
      <w:r w:rsidR="00912DF1">
        <w:rPr>
          <w:rFonts w:ascii="Arial" w:hAnsi="Arial" w:cs="Arial"/>
          <w:i/>
        </w:rPr>
        <w:t>in verbis</w:t>
      </w:r>
      <w:r w:rsidR="00912DF1">
        <w:rPr>
          <w:rFonts w:ascii="Arial" w:hAnsi="Arial" w:cs="Arial"/>
        </w:rPr>
        <w:t xml:space="preserve">: </w:t>
      </w:r>
    </w:p>
    <w:p w:rsidR="00912DF1" w:rsidRDefault="00912DF1" w:rsidP="00AC584B">
      <w:pPr>
        <w:jc w:val="both"/>
        <w:rPr>
          <w:rFonts w:ascii="Arial" w:hAnsi="Arial" w:cs="Arial"/>
        </w:rPr>
      </w:pPr>
    </w:p>
    <w:p w:rsidR="0008608E" w:rsidRDefault="0008608E" w:rsidP="00A828BA">
      <w:pPr>
        <w:ind w:left="1416"/>
        <w:jc w:val="both"/>
        <w:rPr>
          <w:rFonts w:ascii="Arial" w:hAnsi="Arial" w:cs="Arial"/>
          <w:i/>
          <w:sz w:val="20"/>
          <w:szCs w:val="20"/>
        </w:rPr>
      </w:pPr>
      <w:r w:rsidRPr="00046553">
        <w:rPr>
          <w:rFonts w:ascii="Arial" w:hAnsi="Arial" w:cs="Arial"/>
          <w:sz w:val="20"/>
          <w:szCs w:val="20"/>
        </w:rPr>
        <w:t>“</w:t>
      </w:r>
      <w:r w:rsidRPr="00046553">
        <w:rPr>
          <w:rFonts w:ascii="Arial" w:hAnsi="Arial" w:cs="Arial"/>
          <w:i/>
          <w:sz w:val="20"/>
          <w:szCs w:val="20"/>
        </w:rPr>
        <w:t>Embora tanto concorrência com</w:t>
      </w:r>
      <w:r>
        <w:rPr>
          <w:rFonts w:ascii="Arial" w:hAnsi="Arial" w:cs="Arial"/>
          <w:i/>
          <w:sz w:val="20"/>
          <w:szCs w:val="20"/>
        </w:rPr>
        <w:t>o</w:t>
      </w:r>
      <w:r w:rsidRPr="00046553">
        <w:rPr>
          <w:rFonts w:ascii="Arial" w:hAnsi="Arial" w:cs="Arial"/>
          <w:i/>
          <w:sz w:val="20"/>
          <w:szCs w:val="20"/>
        </w:rPr>
        <w:t xml:space="preserve"> competitividade tenham como unid</w:t>
      </w:r>
      <w:r>
        <w:rPr>
          <w:rFonts w:ascii="Arial" w:hAnsi="Arial" w:cs="Arial"/>
          <w:i/>
          <w:sz w:val="20"/>
          <w:szCs w:val="20"/>
        </w:rPr>
        <w:t xml:space="preserve">ade a ‘empresa’ no nível da ação estratégica, </w:t>
      </w:r>
      <w:r w:rsidRPr="00BF7CCA">
        <w:rPr>
          <w:rFonts w:ascii="Arial" w:hAnsi="Arial" w:cs="Arial"/>
          <w:b/>
          <w:i/>
          <w:sz w:val="20"/>
          <w:szCs w:val="20"/>
        </w:rPr>
        <w:t>o ‘mercado’ é de fato, como reconhecido na tradição antitruste, um espaço privilegiado tanto na teoria como na intervenção normativa e reguladora</w:t>
      </w:r>
      <w:r>
        <w:rPr>
          <w:rFonts w:ascii="Arial" w:hAnsi="Arial" w:cs="Arial"/>
          <w:i/>
          <w:sz w:val="20"/>
          <w:szCs w:val="20"/>
        </w:rPr>
        <w:t xml:space="preserve">. Do ponto de vista teórico, isto se deve não só ao fato de </w:t>
      </w:r>
      <w:r w:rsidRPr="00BF7CCA">
        <w:rPr>
          <w:rFonts w:ascii="Arial" w:hAnsi="Arial" w:cs="Arial"/>
          <w:b/>
          <w:i/>
          <w:sz w:val="20"/>
          <w:szCs w:val="20"/>
        </w:rPr>
        <w:t>o mercado ser o ‘locus’ da concorrência</w:t>
      </w:r>
      <w:r>
        <w:rPr>
          <w:rFonts w:ascii="Arial" w:hAnsi="Arial" w:cs="Arial"/>
          <w:i/>
          <w:sz w:val="20"/>
          <w:szCs w:val="20"/>
        </w:rPr>
        <w:t xml:space="preserve">, mas especialmente porque </w:t>
      </w:r>
      <w:r w:rsidRPr="00BF7CCA">
        <w:rPr>
          <w:rFonts w:ascii="Arial" w:hAnsi="Arial" w:cs="Arial"/>
          <w:b/>
          <w:i/>
          <w:sz w:val="20"/>
          <w:szCs w:val="20"/>
        </w:rPr>
        <w:t>os ‘instrumentos’ da disputa competitiva são definidos por características técnico-produtivas específicas de cada indústria e por características do produto associadas à demanda</w:t>
      </w:r>
      <w:r>
        <w:rPr>
          <w:rFonts w:ascii="Arial" w:hAnsi="Arial" w:cs="Arial"/>
          <w:i/>
          <w:sz w:val="20"/>
          <w:szCs w:val="20"/>
        </w:rPr>
        <w:t>; isto é, no âmbito do mercado; podendo mesmo configurar determinados ‘padrões’ de concorrência – quando apresentem alguma regularidade.</w:t>
      </w:r>
    </w:p>
    <w:p w:rsidR="00BF7CCA" w:rsidRDefault="00BF7CCA" w:rsidP="00A828BA">
      <w:pPr>
        <w:ind w:left="1416"/>
        <w:jc w:val="both"/>
        <w:rPr>
          <w:rFonts w:ascii="Arial" w:hAnsi="Arial" w:cs="Arial"/>
          <w:i/>
          <w:sz w:val="20"/>
          <w:szCs w:val="20"/>
        </w:rPr>
      </w:pPr>
    </w:p>
    <w:p w:rsidR="0008608E" w:rsidRDefault="0008608E" w:rsidP="00A828BA">
      <w:pPr>
        <w:ind w:left="1416"/>
        <w:jc w:val="both"/>
        <w:rPr>
          <w:rFonts w:ascii="Arial" w:hAnsi="Arial" w:cs="Arial"/>
          <w:i/>
          <w:sz w:val="20"/>
          <w:szCs w:val="20"/>
        </w:rPr>
      </w:pPr>
      <w:r>
        <w:rPr>
          <w:rFonts w:ascii="Arial" w:hAnsi="Arial" w:cs="Arial"/>
          <w:i/>
          <w:sz w:val="20"/>
          <w:szCs w:val="20"/>
        </w:rPr>
        <w:t xml:space="preserve">Além disso, </w:t>
      </w:r>
      <w:r w:rsidRPr="0008608E">
        <w:rPr>
          <w:rFonts w:ascii="Arial" w:hAnsi="Arial" w:cs="Arial"/>
          <w:b/>
          <w:i/>
          <w:sz w:val="20"/>
          <w:szCs w:val="20"/>
        </w:rPr>
        <w:t>aspectos regulatórios</w:t>
      </w:r>
      <w:r>
        <w:rPr>
          <w:rFonts w:ascii="Arial" w:hAnsi="Arial" w:cs="Arial"/>
          <w:i/>
          <w:sz w:val="20"/>
          <w:szCs w:val="20"/>
        </w:rPr>
        <w:t xml:space="preserve">, infraestruturais, sociais e mesmo macroeconômicos – ‘sistêmicos’, em suma – agem de forma decisiva para </w:t>
      </w:r>
      <w:r w:rsidRPr="0008608E">
        <w:rPr>
          <w:rFonts w:ascii="Arial" w:hAnsi="Arial" w:cs="Arial"/>
          <w:b/>
          <w:i/>
          <w:sz w:val="20"/>
          <w:szCs w:val="20"/>
        </w:rPr>
        <w:t>calibrar a intensidade do processo competitivo</w:t>
      </w:r>
      <w:r>
        <w:rPr>
          <w:rFonts w:ascii="Arial" w:hAnsi="Arial" w:cs="Arial"/>
          <w:i/>
          <w:sz w:val="20"/>
          <w:szCs w:val="20"/>
        </w:rPr>
        <w:t xml:space="preserve"> e eventualmente </w:t>
      </w:r>
      <w:r w:rsidRPr="0073254D">
        <w:rPr>
          <w:rFonts w:ascii="Arial" w:hAnsi="Arial" w:cs="Arial"/>
          <w:b/>
          <w:i/>
          <w:sz w:val="20"/>
          <w:szCs w:val="20"/>
        </w:rPr>
        <w:t>reforçar a ‘competitividade’ das empresas ali atuantes</w:t>
      </w:r>
      <w:r>
        <w:rPr>
          <w:rFonts w:ascii="Arial" w:hAnsi="Arial" w:cs="Arial"/>
          <w:i/>
          <w:sz w:val="20"/>
          <w:szCs w:val="20"/>
        </w:rPr>
        <w:t xml:space="preserve"> e, por extensão, da indústria correspondente. </w:t>
      </w:r>
      <w:r w:rsidRPr="0008608E">
        <w:rPr>
          <w:rFonts w:ascii="Arial" w:hAnsi="Arial" w:cs="Arial"/>
          <w:b/>
          <w:i/>
          <w:sz w:val="20"/>
          <w:szCs w:val="20"/>
        </w:rPr>
        <w:t>Preservar e fortalecer a concorrência, nesse quadro, implica a criação/reprodução de um ‘ambiente competitivo’</w:t>
      </w:r>
      <w:r>
        <w:rPr>
          <w:rFonts w:ascii="Arial" w:hAnsi="Arial" w:cs="Arial"/>
          <w:i/>
          <w:sz w:val="20"/>
          <w:szCs w:val="20"/>
        </w:rPr>
        <w:t xml:space="preserve">. Este compreende: (1) estratégias empresariais ‘inovativas’ e a adoção de critérios de ‘eficiência’ produtiva, no plano das ‘empresas’; e, (2) no plano de ‘mercado’, a </w:t>
      </w:r>
      <w:r w:rsidRPr="0008608E">
        <w:rPr>
          <w:rFonts w:ascii="Arial" w:hAnsi="Arial" w:cs="Arial"/>
          <w:b/>
          <w:i/>
          <w:sz w:val="20"/>
          <w:szCs w:val="20"/>
        </w:rPr>
        <w:t>presença sistemática de ‘pressões competitivas’ internas e potenciais (ameaça de entrada) e de ‘fatores sistêmicos’ favoráveis à concorrência e à competitividade, seja oferecendo externalidades positivas (infraestrutura adequada, mão-de-obra qualificada etc.), seja assegurando condições macroeconômicas favoráveis ao crescimento e ao financiamento, seja mesmo por meio de legislação adequada e outros instrumentos de defesa da concorrência e da política industrial (como por exemplo os instrumentos cambiais e de grau de proteção tarifária e não-tarifária, de política comercial)</w:t>
      </w:r>
      <w:r>
        <w:rPr>
          <w:rFonts w:ascii="Arial" w:hAnsi="Arial" w:cs="Arial"/>
          <w:i/>
          <w:sz w:val="20"/>
          <w:szCs w:val="20"/>
        </w:rPr>
        <w:t>.</w:t>
      </w:r>
    </w:p>
    <w:p w:rsidR="0073254D" w:rsidRDefault="0073254D" w:rsidP="00A828BA">
      <w:pPr>
        <w:ind w:left="1416"/>
        <w:jc w:val="both"/>
        <w:rPr>
          <w:rFonts w:ascii="Arial" w:hAnsi="Arial" w:cs="Arial"/>
          <w:i/>
          <w:sz w:val="20"/>
          <w:szCs w:val="20"/>
        </w:rPr>
      </w:pPr>
    </w:p>
    <w:p w:rsidR="0008608E" w:rsidRPr="00046553" w:rsidRDefault="0008608E" w:rsidP="00A828BA">
      <w:pPr>
        <w:ind w:left="1416"/>
        <w:jc w:val="both"/>
        <w:rPr>
          <w:rFonts w:ascii="Arial" w:hAnsi="Arial" w:cs="Arial"/>
          <w:i/>
          <w:sz w:val="20"/>
          <w:szCs w:val="20"/>
        </w:rPr>
      </w:pPr>
      <w:r w:rsidRPr="00CA79D4">
        <w:rPr>
          <w:rFonts w:ascii="Arial" w:hAnsi="Arial" w:cs="Arial"/>
          <w:i/>
          <w:sz w:val="20"/>
          <w:szCs w:val="20"/>
        </w:rPr>
        <w:t xml:space="preserve">A implicação mais clara dessas considerações é que a </w:t>
      </w:r>
      <w:r w:rsidRPr="0073254D">
        <w:rPr>
          <w:rFonts w:ascii="Arial" w:hAnsi="Arial" w:cs="Arial"/>
          <w:b/>
          <w:i/>
          <w:sz w:val="20"/>
          <w:szCs w:val="20"/>
        </w:rPr>
        <w:t>‘concorrência’ e a ‘competitividade’ não surgem de forma ‘espontânea’</w:t>
      </w:r>
      <w:r w:rsidRPr="00CA79D4">
        <w:rPr>
          <w:rFonts w:ascii="Arial" w:hAnsi="Arial" w:cs="Arial"/>
          <w:i/>
          <w:sz w:val="20"/>
          <w:szCs w:val="20"/>
        </w:rPr>
        <w:t xml:space="preserve"> – como supõem frequentemente os economistas com viés mais liberal –, mas dependem de modo crucial da </w:t>
      </w:r>
      <w:r w:rsidRPr="0073254D">
        <w:rPr>
          <w:rFonts w:ascii="Arial" w:hAnsi="Arial" w:cs="Arial"/>
          <w:b/>
          <w:i/>
          <w:sz w:val="20"/>
          <w:szCs w:val="20"/>
        </w:rPr>
        <w:t>adequação das condições ambientais e, por extensão, de medidas de política econômica</w:t>
      </w:r>
      <w:r w:rsidRPr="00CA79D4">
        <w:rPr>
          <w:rFonts w:ascii="Arial" w:hAnsi="Arial" w:cs="Arial"/>
          <w:i/>
          <w:sz w:val="20"/>
          <w:szCs w:val="20"/>
        </w:rPr>
        <w:t xml:space="preserve">. Em outras palavras, </w:t>
      </w:r>
      <w:r w:rsidRPr="0008608E">
        <w:rPr>
          <w:rFonts w:ascii="Arial" w:hAnsi="Arial" w:cs="Arial"/>
          <w:b/>
          <w:i/>
          <w:sz w:val="20"/>
          <w:szCs w:val="20"/>
        </w:rPr>
        <w:t xml:space="preserve">‘concorrência’ e ‘competitividade’ – em particular, as políticas industrial e de concorrência (desde que tratadas de forma não-antagônica) – com apoio da própria legislação antitruste e regulatória, quanto pelas ‘estratégias’ das próprias empresas, </w:t>
      </w:r>
      <w:r w:rsidRPr="0008608E">
        <w:rPr>
          <w:rFonts w:ascii="Arial" w:hAnsi="Arial" w:cs="Arial"/>
          <w:b/>
          <w:i/>
          <w:sz w:val="20"/>
          <w:szCs w:val="20"/>
          <w:u w:val="single"/>
        </w:rPr>
        <w:t>pressionadas pela concorrência local ou (principalmente) pela mundial</w:t>
      </w:r>
      <w:r w:rsidRPr="0008608E">
        <w:rPr>
          <w:rFonts w:ascii="Arial" w:hAnsi="Arial" w:cs="Arial"/>
          <w:b/>
          <w:i/>
          <w:sz w:val="20"/>
          <w:szCs w:val="20"/>
        </w:rPr>
        <w:t>, num contesto globalizado como o atual</w:t>
      </w:r>
      <w:r w:rsidRPr="0008608E">
        <w:rPr>
          <w:rFonts w:ascii="Arial" w:hAnsi="Arial" w:cs="Arial"/>
          <w:sz w:val="20"/>
          <w:szCs w:val="20"/>
        </w:rPr>
        <w:t>”.</w:t>
      </w:r>
      <w:r>
        <w:rPr>
          <w:rFonts w:ascii="Arial" w:hAnsi="Arial" w:cs="Arial"/>
          <w:sz w:val="20"/>
          <w:szCs w:val="20"/>
        </w:rPr>
        <w:t xml:space="preserve"> (Destacamos)</w:t>
      </w:r>
    </w:p>
    <w:p w:rsidR="00912DF1" w:rsidRDefault="00912DF1" w:rsidP="00AC584B">
      <w:pPr>
        <w:jc w:val="both"/>
        <w:rPr>
          <w:rFonts w:ascii="Arial" w:hAnsi="Arial" w:cs="Arial"/>
        </w:rPr>
      </w:pPr>
    </w:p>
    <w:p w:rsidR="00912DF1" w:rsidRDefault="00912DF1" w:rsidP="00AC584B">
      <w:pPr>
        <w:jc w:val="both"/>
        <w:rPr>
          <w:rFonts w:ascii="Arial" w:hAnsi="Arial" w:cs="Arial"/>
        </w:rPr>
      </w:pPr>
      <w:r>
        <w:rPr>
          <w:rFonts w:ascii="Arial" w:hAnsi="Arial" w:cs="Arial"/>
        </w:rPr>
        <w:tab/>
        <w:t xml:space="preserve">Analisando todo o arcabouço normativo regulatório </w:t>
      </w:r>
      <w:r w:rsidR="008608F3">
        <w:rPr>
          <w:rFonts w:ascii="Arial" w:hAnsi="Arial" w:cs="Arial"/>
        </w:rPr>
        <w:t>implementado até o momento por esta i. ANP, não nos parece haver</w:t>
      </w:r>
      <w:r w:rsidR="00A46B40">
        <w:rPr>
          <w:rFonts w:ascii="Arial" w:hAnsi="Arial" w:cs="Arial"/>
        </w:rPr>
        <w:t xml:space="preserve"> –</w:t>
      </w:r>
      <w:r w:rsidR="008608F3">
        <w:rPr>
          <w:rFonts w:ascii="Arial" w:hAnsi="Arial" w:cs="Arial"/>
        </w:rPr>
        <w:t xml:space="preserve"> pelo menos não até o momento</w:t>
      </w:r>
      <w:r w:rsidR="00A46B40">
        <w:rPr>
          <w:rFonts w:ascii="Arial" w:hAnsi="Arial" w:cs="Arial"/>
        </w:rPr>
        <w:t xml:space="preserve"> –</w:t>
      </w:r>
      <w:r w:rsidR="008608F3">
        <w:rPr>
          <w:rFonts w:ascii="Arial" w:hAnsi="Arial" w:cs="Arial"/>
        </w:rPr>
        <w:t xml:space="preserve"> maiores preocupaç</w:t>
      </w:r>
      <w:r w:rsidR="00DA5441">
        <w:rPr>
          <w:rFonts w:ascii="Arial" w:hAnsi="Arial" w:cs="Arial"/>
        </w:rPr>
        <w:t>ões ou incentivos para</w:t>
      </w:r>
      <w:r w:rsidR="008608F3">
        <w:rPr>
          <w:rFonts w:ascii="Arial" w:hAnsi="Arial" w:cs="Arial"/>
        </w:rPr>
        <w:t xml:space="preserve"> instaurar no mercado de combustíveis, especialmente nos elos da distribuição</w:t>
      </w:r>
      <w:r w:rsidR="0008608E">
        <w:rPr>
          <w:rFonts w:ascii="Arial" w:hAnsi="Arial" w:cs="Arial"/>
        </w:rPr>
        <w:t xml:space="preserve"> e</w:t>
      </w:r>
      <w:r w:rsidR="008608F3">
        <w:rPr>
          <w:rFonts w:ascii="Arial" w:hAnsi="Arial" w:cs="Arial"/>
        </w:rPr>
        <w:t xml:space="preserve"> revenda, uma competição focada e concentrada na inovação</w:t>
      </w:r>
      <w:r w:rsidR="00DA5441">
        <w:rPr>
          <w:rFonts w:ascii="Arial" w:hAnsi="Arial" w:cs="Arial"/>
        </w:rPr>
        <w:t xml:space="preserve">. Estes incentivos à inovação, inclusive se passarem a ser introduzidos e implementados no Brasil, </w:t>
      </w:r>
      <w:r w:rsidR="00DA5441" w:rsidRPr="0008608E">
        <w:rPr>
          <w:rFonts w:ascii="Arial" w:hAnsi="Arial" w:cs="Arial"/>
          <w:b/>
        </w:rPr>
        <w:t xml:space="preserve">deveriam </w:t>
      </w:r>
      <w:r w:rsidR="009B27D9" w:rsidRPr="0008608E">
        <w:rPr>
          <w:rFonts w:ascii="Arial" w:hAnsi="Arial" w:cs="Arial"/>
          <w:b/>
        </w:rPr>
        <w:t>estar associados à ampliação da parcela de mercado do etanol e de outros biocombustíveis</w:t>
      </w:r>
      <w:r w:rsidR="00A46B40">
        <w:rPr>
          <w:rFonts w:ascii="Arial" w:hAnsi="Arial" w:cs="Arial"/>
          <w:b/>
        </w:rPr>
        <w:t xml:space="preserve">, </w:t>
      </w:r>
      <w:r w:rsidR="004848C9">
        <w:rPr>
          <w:rFonts w:ascii="Arial" w:hAnsi="Arial" w:cs="Arial"/>
          <w:b/>
        </w:rPr>
        <w:t>dadas as suas</w:t>
      </w:r>
      <w:r w:rsidR="009B27D9" w:rsidRPr="0008608E">
        <w:rPr>
          <w:rFonts w:ascii="Arial" w:hAnsi="Arial" w:cs="Arial"/>
          <w:b/>
        </w:rPr>
        <w:t xml:space="preserve"> mai</w:t>
      </w:r>
      <w:r w:rsidR="004848C9">
        <w:rPr>
          <w:rFonts w:ascii="Arial" w:hAnsi="Arial" w:cs="Arial"/>
          <w:b/>
        </w:rPr>
        <w:t>ores</w:t>
      </w:r>
      <w:r w:rsidR="009B27D9" w:rsidRPr="0008608E">
        <w:rPr>
          <w:rFonts w:ascii="Arial" w:hAnsi="Arial" w:cs="Arial"/>
          <w:b/>
        </w:rPr>
        <w:t xml:space="preserve"> efici</w:t>
      </w:r>
      <w:r w:rsidR="004848C9">
        <w:rPr>
          <w:rFonts w:ascii="Arial" w:hAnsi="Arial" w:cs="Arial"/>
          <w:b/>
        </w:rPr>
        <w:t>ências</w:t>
      </w:r>
      <w:r w:rsidR="009B27D9" w:rsidRPr="0008608E">
        <w:rPr>
          <w:rFonts w:ascii="Arial" w:hAnsi="Arial" w:cs="Arial"/>
          <w:b/>
        </w:rPr>
        <w:t xml:space="preserve"> em termos ambientais</w:t>
      </w:r>
      <w:r w:rsidR="006B7232" w:rsidRPr="0008608E">
        <w:rPr>
          <w:rFonts w:ascii="Arial" w:hAnsi="Arial" w:cs="Arial"/>
          <w:b/>
        </w:rPr>
        <w:t xml:space="preserve">; e, nesse caso, como já explicado na resposta </w:t>
      </w:r>
      <w:r w:rsidR="00164509">
        <w:rPr>
          <w:rFonts w:ascii="Arial" w:hAnsi="Arial" w:cs="Arial"/>
          <w:b/>
        </w:rPr>
        <w:t xml:space="preserve">do Sindaçucar/PE  </w:t>
      </w:r>
      <w:r w:rsidR="006B7232" w:rsidRPr="0008608E">
        <w:rPr>
          <w:rFonts w:ascii="Arial" w:hAnsi="Arial" w:cs="Arial"/>
          <w:b/>
        </w:rPr>
        <w:t xml:space="preserve">à </w:t>
      </w:r>
      <w:r w:rsidR="0008608E">
        <w:rPr>
          <w:rFonts w:ascii="Arial" w:hAnsi="Arial" w:cs="Arial"/>
          <w:b/>
        </w:rPr>
        <w:t>“Tomada Pública de Contribuições nº 02/2018” (“TCP 2/18”)</w:t>
      </w:r>
      <w:r w:rsidR="006B7232">
        <w:rPr>
          <w:rFonts w:ascii="Arial" w:hAnsi="Arial" w:cs="Arial"/>
        </w:rPr>
        <w:t xml:space="preserve">, o modelo de </w:t>
      </w:r>
      <w:r w:rsidR="006B7232">
        <w:rPr>
          <w:rFonts w:ascii="Arial" w:hAnsi="Arial" w:cs="Arial"/>
        </w:rPr>
        <w:lastRenderedPageBreak/>
        <w:t>embandei</w:t>
      </w:r>
      <w:r w:rsidR="0008608E">
        <w:rPr>
          <w:rFonts w:ascii="Arial" w:hAnsi="Arial" w:cs="Arial"/>
        </w:rPr>
        <w:t>ramento</w:t>
      </w:r>
      <w:r w:rsidR="004848C9">
        <w:rPr>
          <w:rFonts w:ascii="Arial" w:hAnsi="Arial" w:cs="Arial"/>
        </w:rPr>
        <w:t xml:space="preserve"> / exclusividade</w:t>
      </w:r>
      <w:r w:rsidR="00767BF4">
        <w:rPr>
          <w:rFonts w:ascii="Arial" w:hAnsi="Arial" w:cs="Arial"/>
        </w:rPr>
        <w:t xml:space="preserve"> e</w:t>
      </w:r>
      <w:r w:rsidR="0008608E">
        <w:rPr>
          <w:rFonts w:ascii="Arial" w:hAnsi="Arial" w:cs="Arial"/>
        </w:rPr>
        <w:t xml:space="preserve"> a vedação à</w:t>
      </w:r>
      <w:r w:rsidR="006B7232">
        <w:rPr>
          <w:rFonts w:ascii="Arial" w:hAnsi="Arial" w:cs="Arial"/>
        </w:rPr>
        <w:t xml:space="preserve"> venda direta do etanol </w:t>
      </w:r>
      <w:r w:rsidR="00171568">
        <w:rPr>
          <w:rFonts w:ascii="Arial" w:hAnsi="Arial" w:cs="Arial"/>
        </w:rPr>
        <w:t>da usina ao posto-revendedor são dois fatores que têm impedido a elevação da oferta e da demanda do etanol no país.</w:t>
      </w:r>
    </w:p>
    <w:p w:rsidR="00767BF4" w:rsidRDefault="00767BF4" w:rsidP="00AC584B">
      <w:pPr>
        <w:jc w:val="both"/>
        <w:rPr>
          <w:rFonts w:ascii="Arial" w:hAnsi="Arial" w:cs="Arial"/>
        </w:rPr>
      </w:pPr>
    </w:p>
    <w:p w:rsidR="00767BF4" w:rsidRDefault="00767BF4" w:rsidP="00AC584B">
      <w:pPr>
        <w:jc w:val="both"/>
        <w:rPr>
          <w:rFonts w:ascii="Arial" w:hAnsi="Arial" w:cs="Arial"/>
        </w:rPr>
      </w:pPr>
      <w:r>
        <w:rPr>
          <w:rFonts w:ascii="Arial" w:hAnsi="Arial" w:cs="Arial"/>
        </w:rPr>
        <w:tab/>
        <w:t xml:space="preserve">Reitera-se, ainda, que </w:t>
      </w:r>
      <w:r w:rsidR="002606E8">
        <w:rPr>
          <w:rFonts w:ascii="Arial" w:hAnsi="Arial" w:cs="Arial"/>
        </w:rPr>
        <w:t xml:space="preserve">o Sindaçúcar/PE não é contra uma regulação que </w:t>
      </w:r>
      <w:r w:rsidR="00142EA5">
        <w:rPr>
          <w:rFonts w:ascii="Arial" w:hAnsi="Arial" w:cs="Arial"/>
        </w:rPr>
        <w:t>controle entradas e, especialmente, a qualidade dos produtos comercializados</w:t>
      </w:r>
      <w:r w:rsidR="00111F6A">
        <w:rPr>
          <w:rFonts w:ascii="Arial" w:hAnsi="Arial" w:cs="Arial"/>
        </w:rPr>
        <w:t>. No entanto, não nos parece que a atual regra de embandeiramento</w:t>
      </w:r>
      <w:r w:rsidR="005C722D">
        <w:rPr>
          <w:rFonts w:ascii="Arial" w:hAnsi="Arial" w:cs="Arial"/>
        </w:rPr>
        <w:t>,</w:t>
      </w:r>
      <w:r w:rsidR="00111F6A">
        <w:rPr>
          <w:rFonts w:ascii="Arial" w:hAnsi="Arial" w:cs="Arial"/>
        </w:rPr>
        <w:t xml:space="preserve"> e principalmente os contratos de exclusividade </w:t>
      </w:r>
      <w:r w:rsidR="00815BC6">
        <w:rPr>
          <w:rFonts w:ascii="Arial" w:hAnsi="Arial" w:cs="Arial"/>
        </w:rPr>
        <w:t xml:space="preserve">que passaram a ser </w:t>
      </w:r>
      <w:r w:rsidR="00111F6A">
        <w:rPr>
          <w:rFonts w:ascii="Arial" w:hAnsi="Arial" w:cs="Arial"/>
        </w:rPr>
        <w:t xml:space="preserve">celebrados </w:t>
      </w:r>
      <w:r w:rsidR="00815BC6">
        <w:rPr>
          <w:rFonts w:ascii="Arial" w:hAnsi="Arial" w:cs="Arial"/>
        </w:rPr>
        <w:t>desde então</w:t>
      </w:r>
      <w:r w:rsidR="004848C9">
        <w:rPr>
          <w:rFonts w:ascii="Arial" w:hAnsi="Arial" w:cs="Arial"/>
        </w:rPr>
        <w:t>,</w:t>
      </w:r>
      <w:r w:rsidR="00815BC6">
        <w:rPr>
          <w:rFonts w:ascii="Arial" w:hAnsi="Arial" w:cs="Arial"/>
        </w:rPr>
        <w:t xml:space="preserve"> </w:t>
      </w:r>
      <w:r w:rsidR="00111F6A">
        <w:rPr>
          <w:rFonts w:ascii="Arial" w:hAnsi="Arial" w:cs="Arial"/>
        </w:rPr>
        <w:t xml:space="preserve">têm como principal escopo </w:t>
      </w:r>
      <w:r w:rsidR="00524FEF">
        <w:rPr>
          <w:rFonts w:ascii="Arial" w:hAnsi="Arial" w:cs="Arial"/>
        </w:rPr>
        <w:t>e objetivo aquele de garantir a qualidade dos combustíveis demandados pelos consumidores brasileiros</w:t>
      </w:r>
      <w:r w:rsidR="004848C9">
        <w:rPr>
          <w:rFonts w:ascii="Arial" w:hAnsi="Arial" w:cs="Arial"/>
        </w:rPr>
        <w:t xml:space="preserve">. Não vislumbramos também nessas regras e contratos quaisquer incentivos associados à implementação de </w:t>
      </w:r>
      <w:r w:rsidR="00524FEF">
        <w:rPr>
          <w:rFonts w:ascii="Arial" w:hAnsi="Arial" w:cs="Arial"/>
        </w:rPr>
        <w:t>inovações</w:t>
      </w:r>
      <w:r w:rsidR="004848C9">
        <w:rPr>
          <w:rFonts w:ascii="Arial" w:hAnsi="Arial" w:cs="Arial"/>
        </w:rPr>
        <w:t>, até porque tais inovações nos parecem pouco prováveis em</w:t>
      </w:r>
      <w:r w:rsidR="00524FEF">
        <w:rPr>
          <w:rFonts w:ascii="Arial" w:hAnsi="Arial" w:cs="Arial"/>
        </w:rPr>
        <w:t xml:space="preserve"> um mercado caracterizado por produtos homogêneos e cujos serviços </w:t>
      </w:r>
      <w:r w:rsidR="006C6FF9">
        <w:rPr>
          <w:rFonts w:ascii="Arial" w:hAnsi="Arial" w:cs="Arial"/>
        </w:rPr>
        <w:t xml:space="preserve">(abastecimento, oficina, lava-jato e loja de conveniência) </w:t>
      </w:r>
      <w:r w:rsidR="00524FEF">
        <w:rPr>
          <w:rFonts w:ascii="Arial" w:hAnsi="Arial" w:cs="Arial"/>
        </w:rPr>
        <w:t xml:space="preserve">são bastante simples </w:t>
      </w:r>
      <w:r w:rsidR="000745A8">
        <w:rPr>
          <w:rFonts w:ascii="Arial" w:hAnsi="Arial" w:cs="Arial"/>
        </w:rPr>
        <w:t xml:space="preserve">sem a introdução </w:t>
      </w:r>
      <w:r w:rsidR="006C6FF9">
        <w:rPr>
          <w:rFonts w:ascii="Arial" w:hAnsi="Arial" w:cs="Arial"/>
        </w:rPr>
        <w:t>de grande</w:t>
      </w:r>
      <w:r w:rsidR="000745A8">
        <w:rPr>
          <w:rFonts w:ascii="Arial" w:hAnsi="Arial" w:cs="Arial"/>
        </w:rPr>
        <w:t>s</w:t>
      </w:r>
      <w:r w:rsidR="006C6FF9">
        <w:rPr>
          <w:rFonts w:ascii="Arial" w:hAnsi="Arial" w:cs="Arial"/>
        </w:rPr>
        <w:t xml:space="preserve"> tecnologia</w:t>
      </w:r>
      <w:r w:rsidR="000745A8">
        <w:rPr>
          <w:rFonts w:ascii="Arial" w:hAnsi="Arial" w:cs="Arial"/>
        </w:rPr>
        <w:t>s</w:t>
      </w:r>
      <w:r w:rsidR="006C6FF9">
        <w:rPr>
          <w:rFonts w:ascii="Arial" w:hAnsi="Arial" w:cs="Arial"/>
        </w:rPr>
        <w:t xml:space="preserve"> ou </w:t>
      </w:r>
      <w:r w:rsidR="004848C9">
        <w:rPr>
          <w:rFonts w:ascii="Arial" w:hAnsi="Arial" w:cs="Arial"/>
        </w:rPr>
        <w:t>técnicas de vendas ou gestão</w:t>
      </w:r>
      <w:r w:rsidR="006C6FF9">
        <w:rPr>
          <w:rFonts w:ascii="Arial" w:hAnsi="Arial" w:cs="Arial"/>
        </w:rPr>
        <w:t xml:space="preserve"> para serem prestados</w:t>
      </w:r>
      <w:r w:rsidR="005C722D">
        <w:rPr>
          <w:rFonts w:ascii="Arial" w:hAnsi="Arial" w:cs="Arial"/>
        </w:rPr>
        <w:t xml:space="preserve"> adequada e eficientemente aos consumidores brasileiros</w:t>
      </w:r>
      <w:r w:rsidR="00524FEF">
        <w:rPr>
          <w:rFonts w:ascii="Arial" w:hAnsi="Arial" w:cs="Arial"/>
        </w:rPr>
        <w:t>.</w:t>
      </w:r>
    </w:p>
    <w:p w:rsidR="00C10055" w:rsidRDefault="00C10055" w:rsidP="00AC584B">
      <w:pPr>
        <w:jc w:val="both"/>
        <w:rPr>
          <w:rFonts w:ascii="Arial" w:hAnsi="Arial" w:cs="Arial"/>
        </w:rPr>
      </w:pPr>
    </w:p>
    <w:p w:rsidR="00C10055" w:rsidRDefault="00C10055" w:rsidP="00AC584B">
      <w:pPr>
        <w:jc w:val="both"/>
        <w:rPr>
          <w:rFonts w:ascii="Arial" w:hAnsi="Arial" w:cs="Arial"/>
        </w:rPr>
      </w:pPr>
      <w:r>
        <w:rPr>
          <w:rFonts w:ascii="Arial" w:hAnsi="Arial" w:cs="Arial"/>
        </w:rPr>
        <w:tab/>
        <w:t>É ainda interessante citar os apontamentos</w:t>
      </w:r>
      <w:r w:rsidR="00236775">
        <w:rPr>
          <w:rStyle w:val="Refdenotaderodap"/>
          <w:rFonts w:ascii="Arial" w:hAnsi="Arial" w:cs="Arial"/>
        </w:rPr>
        <w:footnoteReference w:id="17"/>
      </w:r>
      <w:r>
        <w:rPr>
          <w:rFonts w:ascii="Arial" w:hAnsi="Arial" w:cs="Arial"/>
        </w:rPr>
        <w:t xml:space="preserve"> feitos pela extinta Secretaria de Acompanhamento Econômico – SEAE, do Ministério da Fazenda, ao analisar a Nota Técnica nº </w:t>
      </w:r>
      <w:r w:rsidRPr="00262CFE">
        <w:rPr>
          <w:rFonts w:ascii="Arial" w:hAnsi="Arial" w:cs="Arial"/>
        </w:rPr>
        <w:t>366/SAB/12</w:t>
      </w:r>
      <w:r>
        <w:rPr>
          <w:rFonts w:ascii="Arial" w:hAnsi="Arial" w:cs="Arial"/>
        </w:rPr>
        <w:t>.</w:t>
      </w:r>
    </w:p>
    <w:p w:rsidR="00C10055" w:rsidRDefault="00C10055" w:rsidP="00AC584B">
      <w:pPr>
        <w:jc w:val="both"/>
        <w:rPr>
          <w:rFonts w:ascii="Arial" w:hAnsi="Arial" w:cs="Arial"/>
        </w:rPr>
      </w:pPr>
    </w:p>
    <w:p w:rsidR="00FF242E" w:rsidRDefault="00C10055" w:rsidP="00AC584B">
      <w:pPr>
        <w:jc w:val="both"/>
        <w:rPr>
          <w:rFonts w:ascii="Arial" w:hAnsi="Arial" w:cs="Arial"/>
        </w:rPr>
      </w:pPr>
      <w:r>
        <w:rPr>
          <w:rFonts w:ascii="Arial" w:hAnsi="Arial" w:cs="Arial"/>
        </w:rPr>
        <w:tab/>
      </w:r>
      <w:r w:rsidR="008F3583">
        <w:rPr>
          <w:rFonts w:ascii="Arial" w:hAnsi="Arial" w:cs="Arial"/>
        </w:rPr>
        <w:t xml:space="preserve">A i. SEAE inicia sua análise explicando </w:t>
      </w:r>
      <w:r w:rsidR="00CF355C">
        <w:rPr>
          <w:rFonts w:ascii="Arial" w:hAnsi="Arial" w:cs="Arial"/>
        </w:rPr>
        <w:t>a relevância da avaliação “da distribuição dos custos e dos benefícios entre os diversos agrupamentos sociais, decorrentes de um normativo legal”, reforçando</w:t>
      </w:r>
      <w:r w:rsidR="005C722D">
        <w:rPr>
          <w:rFonts w:ascii="Arial" w:hAnsi="Arial" w:cs="Arial"/>
        </w:rPr>
        <w:t>, nesse sentido,</w:t>
      </w:r>
      <w:r w:rsidR="00CF355C">
        <w:rPr>
          <w:rFonts w:ascii="Arial" w:hAnsi="Arial" w:cs="Arial"/>
        </w:rPr>
        <w:t xml:space="preserve"> a necessidade de </w:t>
      </w:r>
      <w:r w:rsidR="002C406C">
        <w:rPr>
          <w:rFonts w:ascii="Arial" w:hAnsi="Arial" w:cs="Arial"/>
        </w:rPr>
        <w:t>transparência e d</w:t>
      </w:r>
      <w:r w:rsidR="005C722D">
        <w:rPr>
          <w:rFonts w:ascii="Arial" w:hAnsi="Arial" w:cs="Arial"/>
        </w:rPr>
        <w:t xml:space="preserve">e </w:t>
      </w:r>
      <w:r w:rsidR="002C406C">
        <w:rPr>
          <w:rFonts w:ascii="Arial" w:hAnsi="Arial" w:cs="Arial"/>
        </w:rPr>
        <w:t xml:space="preserve">os “custos da regulação não recaírem sobre o segmento social beneficiário da medida”. Reitera ainda </w:t>
      </w:r>
      <w:r w:rsidR="00810BBC">
        <w:rPr>
          <w:rFonts w:ascii="Arial" w:hAnsi="Arial" w:cs="Arial"/>
        </w:rPr>
        <w:t xml:space="preserve">a relevância e importância da “estimação (...) </w:t>
      </w:r>
      <w:r w:rsidR="00810BBC" w:rsidRPr="005C722D">
        <w:rPr>
          <w:rFonts w:ascii="Arial" w:hAnsi="Arial" w:cs="Arial"/>
          <w:b/>
        </w:rPr>
        <w:t xml:space="preserve">das alternativas viáveis à medida proposta </w:t>
      </w:r>
      <w:r w:rsidR="005C722D" w:rsidRPr="005C722D">
        <w:rPr>
          <w:rFonts w:ascii="Arial" w:hAnsi="Arial" w:cs="Arial"/>
          <w:b/>
        </w:rPr>
        <w:t>[como]</w:t>
      </w:r>
      <w:r w:rsidR="00810BBC" w:rsidRPr="005C722D">
        <w:rPr>
          <w:rFonts w:ascii="Arial" w:hAnsi="Arial" w:cs="Arial"/>
          <w:b/>
        </w:rPr>
        <w:t xml:space="preserve"> condição necessária para aferição da regulação proposta</w:t>
      </w:r>
      <w:r w:rsidR="00810BBC">
        <w:rPr>
          <w:rFonts w:ascii="Arial" w:hAnsi="Arial" w:cs="Arial"/>
        </w:rPr>
        <w:t>”</w:t>
      </w:r>
      <w:r w:rsidR="00FF242E">
        <w:rPr>
          <w:rFonts w:ascii="Arial" w:hAnsi="Arial" w:cs="Arial"/>
        </w:rPr>
        <w:t xml:space="preserve">, </w:t>
      </w:r>
      <w:r w:rsidR="006F5D40">
        <w:rPr>
          <w:rFonts w:ascii="Arial" w:hAnsi="Arial" w:cs="Arial"/>
        </w:rPr>
        <w:t>indic</w:t>
      </w:r>
      <w:r w:rsidR="00FF242E">
        <w:rPr>
          <w:rFonts w:ascii="Arial" w:hAnsi="Arial" w:cs="Arial"/>
        </w:rPr>
        <w:t>ando</w:t>
      </w:r>
      <w:r w:rsidR="005C722D">
        <w:rPr>
          <w:rFonts w:ascii="Arial" w:hAnsi="Arial" w:cs="Arial"/>
        </w:rPr>
        <w:t>, por fim, que</w:t>
      </w:r>
      <w:r w:rsidR="00FF242E">
        <w:rPr>
          <w:rFonts w:ascii="Arial" w:hAnsi="Arial" w:cs="Arial"/>
        </w:rPr>
        <w:t xml:space="preserve"> “considerações sobre os impactos ao bem-estar da sociedade</w:t>
      </w:r>
      <w:r w:rsidR="00E6284F">
        <w:rPr>
          <w:rFonts w:ascii="Arial" w:hAnsi="Arial" w:cs="Arial"/>
        </w:rPr>
        <w:t xml:space="preserve"> [devam ser o]</w:t>
      </w:r>
      <w:r w:rsidR="00FF242E">
        <w:rPr>
          <w:rFonts w:ascii="Arial" w:hAnsi="Arial" w:cs="Arial"/>
        </w:rPr>
        <w:t xml:space="preserve"> ponto de partida </w:t>
      </w:r>
      <w:r w:rsidR="00E6284F">
        <w:rPr>
          <w:rFonts w:ascii="Arial" w:hAnsi="Arial" w:cs="Arial"/>
        </w:rPr>
        <w:t>à</w:t>
      </w:r>
      <w:r w:rsidR="00FF242E">
        <w:rPr>
          <w:rFonts w:ascii="Arial" w:hAnsi="Arial" w:cs="Arial"/>
        </w:rPr>
        <w:t xml:space="preserve"> abordagem concorrencial”</w:t>
      </w:r>
      <w:r w:rsidR="00E340B3">
        <w:rPr>
          <w:rStyle w:val="Refdenotaderodap"/>
          <w:rFonts w:ascii="Arial" w:hAnsi="Arial" w:cs="Arial"/>
        </w:rPr>
        <w:footnoteReference w:id="18"/>
      </w:r>
      <w:r w:rsidR="00FF242E">
        <w:rPr>
          <w:rFonts w:ascii="Arial" w:hAnsi="Arial" w:cs="Arial"/>
        </w:rPr>
        <w:t xml:space="preserve">. </w:t>
      </w:r>
    </w:p>
    <w:p w:rsidR="00FF242E" w:rsidRDefault="00FF242E" w:rsidP="00AC584B">
      <w:pPr>
        <w:jc w:val="both"/>
        <w:rPr>
          <w:rFonts w:ascii="Arial" w:hAnsi="Arial" w:cs="Arial"/>
        </w:rPr>
      </w:pPr>
    </w:p>
    <w:p w:rsidR="00C10055" w:rsidRDefault="00FF242E" w:rsidP="00AC584B">
      <w:pPr>
        <w:jc w:val="both"/>
        <w:rPr>
          <w:rFonts w:ascii="Arial" w:hAnsi="Arial" w:cs="Arial"/>
        </w:rPr>
      </w:pPr>
      <w:r>
        <w:rPr>
          <w:rFonts w:ascii="Arial" w:hAnsi="Arial" w:cs="Arial"/>
        </w:rPr>
        <w:tab/>
        <w:t>Nesse sentido, destaca que “o impacto concorrencial pode ocorrer por meio de (i) limitação no número ou variedade de fornecedores; (ii) limitação na concorrência</w:t>
      </w:r>
      <w:r w:rsidR="00236775">
        <w:rPr>
          <w:rFonts w:ascii="Arial" w:hAnsi="Arial" w:cs="Arial"/>
        </w:rPr>
        <w:t xml:space="preserve"> entre empresas; e (iii) diminuição do incentivo à competição”, explicando em seu Parecer Analítico nº 122/13 cada um desses pontos.</w:t>
      </w:r>
      <w:r w:rsidR="00810BBC">
        <w:rPr>
          <w:rFonts w:ascii="Arial" w:hAnsi="Arial" w:cs="Arial"/>
        </w:rPr>
        <w:t xml:space="preserve"> </w:t>
      </w:r>
    </w:p>
    <w:p w:rsidR="00E340B3" w:rsidRDefault="00E340B3" w:rsidP="00AC584B">
      <w:pPr>
        <w:jc w:val="both"/>
        <w:rPr>
          <w:rFonts w:ascii="Arial" w:hAnsi="Arial" w:cs="Arial"/>
        </w:rPr>
      </w:pPr>
    </w:p>
    <w:p w:rsidR="00DE6F86" w:rsidRDefault="00E340B3" w:rsidP="00AC584B">
      <w:pPr>
        <w:jc w:val="both"/>
        <w:rPr>
          <w:rFonts w:ascii="Arial" w:hAnsi="Arial" w:cs="Arial"/>
        </w:rPr>
      </w:pPr>
      <w:r>
        <w:rPr>
          <w:rFonts w:ascii="Arial" w:hAnsi="Arial" w:cs="Arial"/>
        </w:rPr>
        <w:tab/>
        <w:t>Especificamente em relação à regra de embandeiramento, vedação à verticalização (objeto da TPC nº 3/2018)</w:t>
      </w:r>
      <w:r w:rsidR="00EB2D17">
        <w:rPr>
          <w:rFonts w:ascii="Arial" w:hAnsi="Arial" w:cs="Arial"/>
        </w:rPr>
        <w:t xml:space="preserve"> e dos contratos de exclusividade, a i. SEAE destaca</w:t>
      </w:r>
      <w:r w:rsidR="00E6284F">
        <w:rPr>
          <w:rFonts w:ascii="Arial" w:hAnsi="Arial" w:cs="Arial"/>
        </w:rPr>
        <w:t>,</w:t>
      </w:r>
      <w:r w:rsidR="00EB2D17">
        <w:rPr>
          <w:rFonts w:ascii="Arial" w:hAnsi="Arial" w:cs="Arial"/>
        </w:rPr>
        <w:t xml:space="preserve"> inicialmente</w:t>
      </w:r>
      <w:r w:rsidR="00E6284F">
        <w:rPr>
          <w:rFonts w:ascii="Arial" w:hAnsi="Arial" w:cs="Arial"/>
        </w:rPr>
        <w:t>,</w:t>
      </w:r>
      <w:r w:rsidR="00EB2D17">
        <w:rPr>
          <w:rFonts w:ascii="Arial" w:hAnsi="Arial" w:cs="Arial"/>
        </w:rPr>
        <w:t xml:space="preserve"> que “a opção por proibir a integração vertical e </w:t>
      </w:r>
      <w:r w:rsidR="00EB2D17" w:rsidRPr="00A828BA">
        <w:rPr>
          <w:rFonts w:ascii="Arial" w:hAnsi="Arial" w:cs="Arial"/>
          <w:b/>
        </w:rPr>
        <w:t xml:space="preserve">não tratar explicitamente das </w:t>
      </w:r>
      <w:r w:rsidR="00EB2D17" w:rsidRPr="00A828BA">
        <w:rPr>
          <w:rFonts w:ascii="Arial" w:hAnsi="Arial" w:cs="Arial"/>
          <w:b/>
          <w:u w:val="single"/>
        </w:rPr>
        <w:t>restrições vertic</w:t>
      </w:r>
      <w:r w:rsidR="00106374" w:rsidRPr="00A828BA">
        <w:rPr>
          <w:rFonts w:ascii="Arial" w:hAnsi="Arial" w:cs="Arial"/>
          <w:b/>
          <w:u w:val="single"/>
        </w:rPr>
        <w:t>ais</w:t>
      </w:r>
      <w:r w:rsidR="00106374" w:rsidRPr="00A828BA">
        <w:rPr>
          <w:rFonts w:ascii="Arial" w:hAnsi="Arial" w:cs="Arial"/>
          <w:b/>
        </w:rPr>
        <w:t xml:space="preserve"> pode se mostrar </w:t>
      </w:r>
      <w:r w:rsidR="00106374" w:rsidRPr="00A828BA">
        <w:rPr>
          <w:rFonts w:ascii="Arial" w:hAnsi="Arial" w:cs="Arial"/>
          <w:b/>
          <w:u w:val="single"/>
        </w:rPr>
        <w:t>ineficaz</w:t>
      </w:r>
      <w:r w:rsidR="00106374">
        <w:rPr>
          <w:rFonts w:ascii="Arial" w:hAnsi="Arial" w:cs="Arial"/>
        </w:rPr>
        <w:t>. Isso porque, segundo Viscusi, Vernon &amp; Harrington Jr. (2005)</w:t>
      </w:r>
      <w:r w:rsidR="00DE6F86">
        <w:rPr>
          <w:rStyle w:val="Refdenotaderodap"/>
          <w:rFonts w:ascii="Arial" w:hAnsi="Arial" w:cs="Arial"/>
        </w:rPr>
        <w:footnoteReference w:id="19"/>
      </w:r>
      <w:r w:rsidR="00106374">
        <w:rPr>
          <w:rFonts w:ascii="Arial" w:hAnsi="Arial" w:cs="Arial"/>
        </w:rPr>
        <w:t xml:space="preserve">, as </w:t>
      </w:r>
      <w:r w:rsidR="00106374" w:rsidRPr="00106374">
        <w:rPr>
          <w:rFonts w:ascii="Arial" w:hAnsi="Arial" w:cs="Arial"/>
          <w:b/>
        </w:rPr>
        <w:t>restrições verticais</w:t>
      </w:r>
      <w:r w:rsidR="00106374">
        <w:rPr>
          <w:rFonts w:ascii="Arial" w:hAnsi="Arial" w:cs="Arial"/>
        </w:rPr>
        <w:t xml:space="preserve"> </w:t>
      </w:r>
      <w:r w:rsidR="00106374">
        <w:rPr>
          <w:rFonts w:ascii="Arial" w:hAnsi="Arial" w:cs="Arial"/>
          <w:b/>
        </w:rPr>
        <w:t>podem produzir efeitos semelhantes aos gerados pela inte</w:t>
      </w:r>
      <w:r w:rsidR="00794830">
        <w:rPr>
          <w:rFonts w:ascii="Arial" w:hAnsi="Arial" w:cs="Arial"/>
          <w:b/>
        </w:rPr>
        <w:t xml:space="preserve">gração </w:t>
      </w:r>
      <w:r w:rsidR="00794830">
        <w:rPr>
          <w:rFonts w:ascii="Arial" w:hAnsi="Arial" w:cs="Arial"/>
          <w:b/>
        </w:rPr>
        <w:lastRenderedPageBreak/>
        <w:t>vertical, sobretudo no que tange ao aspecto concorrencial</w:t>
      </w:r>
      <w:r w:rsidR="00794830">
        <w:rPr>
          <w:rFonts w:ascii="Arial" w:hAnsi="Arial" w:cs="Arial"/>
        </w:rPr>
        <w:t>”</w:t>
      </w:r>
      <w:r w:rsidR="006D34E0">
        <w:rPr>
          <w:rFonts w:ascii="Arial" w:hAnsi="Arial" w:cs="Arial"/>
        </w:rPr>
        <w:t xml:space="preserve"> (Destacamos)</w:t>
      </w:r>
      <w:r w:rsidR="00794830">
        <w:rPr>
          <w:rFonts w:ascii="Arial" w:hAnsi="Arial" w:cs="Arial"/>
        </w:rPr>
        <w:t>.</w:t>
      </w:r>
      <w:r w:rsidR="00DE6F86">
        <w:rPr>
          <w:rFonts w:ascii="Arial" w:hAnsi="Arial" w:cs="Arial"/>
        </w:rPr>
        <w:t xml:space="preserve"> Continua sua análise explicando que: </w:t>
      </w:r>
    </w:p>
    <w:p w:rsidR="00DE6F86" w:rsidRPr="00DE6F86" w:rsidRDefault="00DE6F86" w:rsidP="00DE6F86">
      <w:pPr>
        <w:jc w:val="both"/>
        <w:rPr>
          <w:rFonts w:ascii="Arial" w:hAnsi="Arial" w:cs="Arial"/>
          <w:sz w:val="20"/>
          <w:szCs w:val="20"/>
        </w:rPr>
      </w:pPr>
    </w:p>
    <w:p w:rsidR="00DE6F86" w:rsidRDefault="00DE6F86" w:rsidP="00DE6F86">
      <w:pPr>
        <w:ind w:left="1416"/>
        <w:jc w:val="both"/>
        <w:rPr>
          <w:rFonts w:ascii="Arial" w:hAnsi="Arial" w:cs="Arial"/>
          <w:i/>
          <w:sz w:val="20"/>
          <w:szCs w:val="20"/>
        </w:rPr>
      </w:pPr>
      <w:r w:rsidRPr="00DE6F86">
        <w:rPr>
          <w:rFonts w:ascii="Arial" w:hAnsi="Arial" w:cs="Arial"/>
          <w:sz w:val="20"/>
          <w:szCs w:val="20"/>
        </w:rPr>
        <w:t>“</w:t>
      </w:r>
      <w:r w:rsidRPr="00DE6F86">
        <w:rPr>
          <w:rFonts w:ascii="Arial" w:hAnsi="Arial" w:cs="Arial"/>
          <w:i/>
          <w:sz w:val="20"/>
          <w:szCs w:val="20"/>
        </w:rPr>
        <w:t xml:space="preserve">41. No mercado de combustíveis, nota-se que, embora a ANP adote o modelo de unbundling, os </w:t>
      </w:r>
      <w:r w:rsidRPr="00DE6F86">
        <w:rPr>
          <w:rFonts w:ascii="Arial" w:hAnsi="Arial" w:cs="Arial"/>
          <w:b/>
          <w:i/>
          <w:sz w:val="20"/>
          <w:szCs w:val="20"/>
        </w:rPr>
        <w:t>agentes podem estabelecer práticas comerciais que, na prática, geram os resultados que a agência reguladora tenta impedir</w:t>
      </w:r>
      <w:r w:rsidRPr="00DE6F86">
        <w:rPr>
          <w:rFonts w:ascii="Arial" w:hAnsi="Arial" w:cs="Arial"/>
          <w:i/>
          <w:sz w:val="20"/>
          <w:szCs w:val="20"/>
        </w:rPr>
        <w:t xml:space="preserve">, uma vez que </w:t>
      </w:r>
      <w:r w:rsidRPr="00DE6F86">
        <w:rPr>
          <w:rFonts w:ascii="Arial" w:hAnsi="Arial" w:cs="Arial"/>
          <w:b/>
          <w:i/>
          <w:sz w:val="20"/>
          <w:szCs w:val="20"/>
        </w:rPr>
        <w:t>a regulação não impede as diversas formas de restrição vertical</w:t>
      </w:r>
      <w:r w:rsidRPr="00DE6F86">
        <w:rPr>
          <w:rFonts w:ascii="Arial" w:hAnsi="Arial" w:cs="Arial"/>
          <w:i/>
          <w:sz w:val="20"/>
          <w:szCs w:val="20"/>
        </w:rPr>
        <w:t>. Neste caso, a proibição em questão apenas gera custo de transação e não atinge o objetivo inicialmente almejado pela agência.</w:t>
      </w:r>
    </w:p>
    <w:p w:rsidR="00DE6F86" w:rsidRPr="00DE6F86" w:rsidRDefault="00DE6F86" w:rsidP="00DE6F86">
      <w:pPr>
        <w:ind w:left="1416"/>
        <w:jc w:val="both"/>
        <w:rPr>
          <w:rFonts w:ascii="Arial" w:hAnsi="Arial" w:cs="Arial"/>
          <w:i/>
          <w:sz w:val="20"/>
          <w:szCs w:val="20"/>
        </w:rPr>
      </w:pPr>
    </w:p>
    <w:p w:rsidR="00DE6F86" w:rsidRPr="00DE6F86" w:rsidRDefault="00DE6F86" w:rsidP="00DE6F86">
      <w:pPr>
        <w:ind w:left="1416"/>
        <w:jc w:val="both"/>
        <w:rPr>
          <w:rFonts w:ascii="Arial" w:hAnsi="Arial" w:cs="Arial"/>
          <w:i/>
          <w:sz w:val="20"/>
          <w:szCs w:val="20"/>
        </w:rPr>
      </w:pPr>
      <w:r w:rsidRPr="00DE6F86">
        <w:rPr>
          <w:rFonts w:ascii="Arial" w:hAnsi="Arial" w:cs="Arial"/>
          <w:i/>
          <w:sz w:val="20"/>
          <w:szCs w:val="20"/>
        </w:rPr>
        <w:t xml:space="preserve">42. </w:t>
      </w:r>
      <w:r w:rsidRPr="00DE6F86">
        <w:rPr>
          <w:rFonts w:ascii="Arial" w:hAnsi="Arial" w:cs="Arial"/>
          <w:b/>
          <w:i/>
          <w:sz w:val="20"/>
          <w:szCs w:val="20"/>
        </w:rPr>
        <w:t>Um exemplo em que a restrição vertical pode produzir efeitos semelhantes à integração vertical pode ser observado quando a distribuidora é proprietária de ativos (bomba e tanques de armazenamento por meio de contrato de comodato)</w:t>
      </w:r>
      <w:r w:rsidRPr="00DE6F86">
        <w:rPr>
          <w:rFonts w:ascii="Arial" w:hAnsi="Arial" w:cs="Arial"/>
          <w:i/>
          <w:sz w:val="20"/>
          <w:szCs w:val="20"/>
        </w:rPr>
        <w:t xml:space="preserve">, envolvendo, na maioria das vezes, </w:t>
      </w:r>
      <w:r w:rsidRPr="00DE6F86">
        <w:rPr>
          <w:rFonts w:ascii="Arial" w:hAnsi="Arial" w:cs="Arial"/>
          <w:b/>
          <w:i/>
          <w:sz w:val="20"/>
          <w:szCs w:val="20"/>
        </w:rPr>
        <w:t>contratos de exclusividade</w:t>
      </w:r>
      <w:r>
        <w:rPr>
          <w:rStyle w:val="Refdenotaderodap"/>
          <w:rFonts w:ascii="Arial" w:hAnsi="Arial" w:cs="Arial"/>
          <w:b/>
          <w:i/>
          <w:sz w:val="20"/>
          <w:szCs w:val="20"/>
        </w:rPr>
        <w:footnoteReference w:id="20"/>
      </w:r>
      <w:r w:rsidRPr="00DE6F86">
        <w:rPr>
          <w:rFonts w:ascii="Arial" w:hAnsi="Arial" w:cs="Arial"/>
          <w:i/>
          <w:sz w:val="20"/>
          <w:szCs w:val="20"/>
        </w:rPr>
        <w:t xml:space="preserve"> (Ragazzo, 2010, p. 36). Frequentemente isso se dá em casos de franquias, por meio das quais os ativos são da distribuidora</w:t>
      </w:r>
      <w:r w:rsidR="00B5784D">
        <w:rPr>
          <w:rStyle w:val="Refdenotaderodap"/>
          <w:rFonts w:ascii="Arial" w:hAnsi="Arial" w:cs="Arial"/>
          <w:i/>
          <w:sz w:val="20"/>
          <w:szCs w:val="20"/>
        </w:rPr>
        <w:footnoteReference w:id="21"/>
      </w:r>
      <w:r w:rsidRPr="00DE6F86">
        <w:rPr>
          <w:rFonts w:ascii="Arial" w:hAnsi="Arial" w:cs="Arial"/>
          <w:i/>
          <w:sz w:val="20"/>
          <w:szCs w:val="20"/>
        </w:rPr>
        <w:t>, sendo operados por terceiros que, no entanto, não podem trocar de distribuidora. Em outros arranjos contratuais, o revendedor pode trocar de distribuidora quando do término do contrato de fornecimento, situação em que, em geral, o operador do posto é o proprietário dos ativos – o que reflete um grau menor de relação vertical</w:t>
      </w:r>
      <w:r w:rsidR="00587358">
        <w:rPr>
          <w:rStyle w:val="Refdenotaderodap"/>
          <w:rFonts w:ascii="Arial" w:hAnsi="Arial" w:cs="Arial"/>
          <w:i/>
          <w:sz w:val="20"/>
          <w:szCs w:val="20"/>
        </w:rPr>
        <w:footnoteReference w:id="22"/>
      </w:r>
      <w:r w:rsidRPr="00DE6F86">
        <w:rPr>
          <w:rFonts w:ascii="Arial" w:hAnsi="Arial" w:cs="Arial"/>
          <w:i/>
          <w:sz w:val="20"/>
          <w:szCs w:val="20"/>
        </w:rPr>
        <w:t>.</w:t>
      </w:r>
    </w:p>
    <w:p w:rsidR="00587358" w:rsidRDefault="00587358" w:rsidP="00DE6F86">
      <w:pPr>
        <w:ind w:left="1416"/>
        <w:jc w:val="both"/>
        <w:rPr>
          <w:rFonts w:ascii="Arial" w:hAnsi="Arial" w:cs="Arial"/>
          <w:i/>
          <w:sz w:val="20"/>
          <w:szCs w:val="20"/>
        </w:rPr>
      </w:pPr>
    </w:p>
    <w:p w:rsidR="00DE6F86" w:rsidRDefault="00DE6F86" w:rsidP="00DE6F86">
      <w:pPr>
        <w:ind w:left="1416"/>
        <w:jc w:val="both"/>
        <w:rPr>
          <w:rFonts w:ascii="Arial" w:hAnsi="Arial" w:cs="Arial"/>
          <w:i/>
          <w:sz w:val="20"/>
          <w:szCs w:val="20"/>
        </w:rPr>
      </w:pPr>
      <w:r w:rsidRPr="00DE6F86">
        <w:rPr>
          <w:rFonts w:ascii="Arial" w:hAnsi="Arial" w:cs="Arial"/>
          <w:i/>
          <w:sz w:val="20"/>
          <w:szCs w:val="20"/>
        </w:rPr>
        <w:t xml:space="preserve">43. Outra situação que </w:t>
      </w:r>
      <w:r w:rsidRPr="00587358">
        <w:rPr>
          <w:rFonts w:ascii="Arial" w:hAnsi="Arial" w:cs="Arial"/>
          <w:b/>
          <w:i/>
          <w:sz w:val="20"/>
          <w:szCs w:val="20"/>
        </w:rPr>
        <w:t>ilustra o dano potencial à concorrência</w:t>
      </w:r>
      <w:r w:rsidRPr="00DE6F86">
        <w:rPr>
          <w:rFonts w:ascii="Arial" w:hAnsi="Arial" w:cs="Arial"/>
          <w:i/>
          <w:sz w:val="20"/>
          <w:szCs w:val="20"/>
        </w:rPr>
        <w:t xml:space="preserve"> decorrente de</w:t>
      </w:r>
      <w:r w:rsidR="00587358">
        <w:rPr>
          <w:rFonts w:ascii="Arial" w:hAnsi="Arial" w:cs="Arial"/>
          <w:i/>
          <w:sz w:val="20"/>
          <w:szCs w:val="20"/>
        </w:rPr>
        <w:t xml:space="preserve"> </w:t>
      </w:r>
      <w:r w:rsidR="00587358" w:rsidRPr="00587358">
        <w:rPr>
          <w:rFonts w:ascii="Arial" w:hAnsi="Arial" w:cs="Arial"/>
          <w:i/>
          <w:sz w:val="20"/>
          <w:szCs w:val="20"/>
        </w:rPr>
        <w:t xml:space="preserve">uma </w:t>
      </w:r>
      <w:r w:rsidR="00587358" w:rsidRPr="00587358">
        <w:rPr>
          <w:rFonts w:ascii="Arial" w:hAnsi="Arial" w:cs="Arial"/>
          <w:b/>
          <w:i/>
          <w:sz w:val="20"/>
          <w:szCs w:val="20"/>
        </w:rPr>
        <w:t>restrição vertical é a fixação de um volume mínimo de compra</w:t>
      </w:r>
      <w:r w:rsidR="00587358">
        <w:rPr>
          <w:rStyle w:val="Refdenotaderodap"/>
          <w:rFonts w:ascii="Arial" w:hAnsi="Arial" w:cs="Arial"/>
          <w:b/>
          <w:i/>
          <w:sz w:val="20"/>
          <w:szCs w:val="20"/>
        </w:rPr>
        <w:footnoteReference w:id="23"/>
      </w:r>
      <w:r w:rsidR="00587358" w:rsidRPr="00587358">
        <w:rPr>
          <w:rFonts w:ascii="Arial" w:hAnsi="Arial" w:cs="Arial"/>
          <w:b/>
          <w:i/>
          <w:sz w:val="20"/>
          <w:szCs w:val="20"/>
        </w:rPr>
        <w:t>, que a distribuidora impõe ao revendedor, condicionando sua política de estabelecimento de preços</w:t>
      </w:r>
      <w:r w:rsidR="00587358" w:rsidRPr="00587358">
        <w:rPr>
          <w:rFonts w:ascii="Arial" w:hAnsi="Arial" w:cs="Arial"/>
          <w:i/>
          <w:sz w:val="20"/>
          <w:szCs w:val="20"/>
        </w:rPr>
        <w:t xml:space="preserve">. Segundo Luciano et. all (2008), </w:t>
      </w:r>
      <w:r w:rsidR="00587358" w:rsidRPr="008265F0">
        <w:rPr>
          <w:rFonts w:ascii="Arial" w:hAnsi="Arial" w:cs="Arial"/>
          <w:b/>
          <w:i/>
          <w:sz w:val="20"/>
          <w:szCs w:val="20"/>
        </w:rPr>
        <w:t xml:space="preserve">na </w:t>
      </w:r>
      <w:r w:rsidR="00587358" w:rsidRPr="006C1A18">
        <w:rPr>
          <w:rFonts w:ascii="Arial" w:hAnsi="Arial" w:cs="Arial"/>
          <w:b/>
          <w:i/>
          <w:sz w:val="20"/>
          <w:szCs w:val="20"/>
          <w:u w:val="single"/>
        </w:rPr>
        <w:t>ausência</w:t>
      </w:r>
      <w:r w:rsidR="00587358" w:rsidRPr="008265F0">
        <w:rPr>
          <w:rFonts w:ascii="Arial" w:hAnsi="Arial" w:cs="Arial"/>
          <w:b/>
          <w:i/>
          <w:sz w:val="20"/>
          <w:szCs w:val="20"/>
        </w:rPr>
        <w:t xml:space="preserve"> de restrições de volume, os </w:t>
      </w:r>
      <w:r w:rsidR="00587358" w:rsidRPr="006C1A18">
        <w:rPr>
          <w:rFonts w:ascii="Arial" w:hAnsi="Arial" w:cs="Arial"/>
          <w:b/>
          <w:i/>
          <w:sz w:val="20"/>
          <w:szCs w:val="20"/>
          <w:u w:val="single"/>
        </w:rPr>
        <w:t>preços tendem a ser menores</w:t>
      </w:r>
      <w:r w:rsidR="00587358" w:rsidRPr="00587358">
        <w:rPr>
          <w:rFonts w:ascii="Arial" w:hAnsi="Arial" w:cs="Arial"/>
          <w:i/>
          <w:sz w:val="20"/>
          <w:szCs w:val="20"/>
        </w:rPr>
        <w:t xml:space="preserve"> nos postos de propriedade das distribuidoras</w:t>
      </w:r>
      <w:r w:rsidR="008265F0">
        <w:rPr>
          <w:rStyle w:val="Refdenotaderodap"/>
          <w:rFonts w:ascii="Arial" w:hAnsi="Arial" w:cs="Arial"/>
          <w:i/>
          <w:sz w:val="20"/>
          <w:szCs w:val="20"/>
        </w:rPr>
        <w:footnoteReference w:id="24"/>
      </w:r>
      <w:r w:rsidR="00587358" w:rsidRPr="00587358">
        <w:rPr>
          <w:rFonts w:ascii="Arial" w:hAnsi="Arial" w:cs="Arial"/>
          <w:i/>
          <w:sz w:val="20"/>
          <w:szCs w:val="20"/>
        </w:rPr>
        <w:t>. Ressalte-se, no entanto, que impor volume mínimo difere da imposição direta de preços</w:t>
      </w:r>
      <w:r w:rsidR="008265F0">
        <w:rPr>
          <w:rStyle w:val="Refdenotaderodap"/>
          <w:rFonts w:ascii="Arial" w:hAnsi="Arial" w:cs="Arial"/>
          <w:i/>
          <w:sz w:val="20"/>
          <w:szCs w:val="20"/>
        </w:rPr>
        <w:footnoteReference w:id="25"/>
      </w:r>
      <w:r w:rsidR="00587358" w:rsidRPr="00587358">
        <w:rPr>
          <w:rFonts w:ascii="Arial" w:hAnsi="Arial" w:cs="Arial"/>
          <w:i/>
          <w:sz w:val="20"/>
          <w:szCs w:val="20"/>
        </w:rPr>
        <w:t>, considerada conduta que pode ser tipificada como anticompetitiva</w:t>
      </w:r>
      <w:r w:rsidR="005C7CA0">
        <w:rPr>
          <w:rStyle w:val="Refdenotaderodap"/>
          <w:rFonts w:ascii="Arial" w:hAnsi="Arial" w:cs="Arial"/>
          <w:i/>
          <w:sz w:val="20"/>
          <w:szCs w:val="20"/>
        </w:rPr>
        <w:footnoteReference w:id="26"/>
      </w:r>
      <w:r w:rsidR="00587358" w:rsidRPr="00587358">
        <w:rPr>
          <w:rFonts w:ascii="Arial" w:hAnsi="Arial" w:cs="Arial"/>
          <w:i/>
          <w:sz w:val="20"/>
          <w:szCs w:val="20"/>
        </w:rPr>
        <w:t>.</w:t>
      </w:r>
    </w:p>
    <w:p w:rsidR="00AF6284" w:rsidRDefault="00AF6284" w:rsidP="00DE6F86">
      <w:pPr>
        <w:ind w:left="1416"/>
        <w:jc w:val="both"/>
        <w:rPr>
          <w:rFonts w:ascii="Arial" w:hAnsi="Arial" w:cs="Arial"/>
          <w:i/>
        </w:rPr>
      </w:pPr>
    </w:p>
    <w:p w:rsidR="00AF6284" w:rsidRDefault="00AF6284" w:rsidP="00AF6284">
      <w:pPr>
        <w:ind w:left="1416"/>
        <w:jc w:val="both"/>
        <w:rPr>
          <w:rFonts w:ascii="Arial" w:hAnsi="Arial" w:cs="Arial"/>
          <w:i/>
          <w:sz w:val="20"/>
          <w:szCs w:val="20"/>
        </w:rPr>
      </w:pPr>
      <w:r w:rsidRPr="00AF6284">
        <w:rPr>
          <w:rFonts w:ascii="Arial" w:hAnsi="Arial" w:cs="Arial"/>
          <w:i/>
          <w:sz w:val="20"/>
          <w:szCs w:val="20"/>
        </w:rPr>
        <w:t xml:space="preserve">44. Os arranjos citados acima decorrem da estrutura e das estratégias de atuação das empresas no mercado de combustíveis. Conforme aponta o Parecer </w:t>
      </w:r>
      <w:r w:rsidRPr="00AF6284">
        <w:rPr>
          <w:rFonts w:ascii="Arial" w:hAnsi="Arial" w:cs="Arial"/>
          <w:i/>
          <w:sz w:val="20"/>
          <w:szCs w:val="20"/>
        </w:rPr>
        <w:lastRenderedPageBreak/>
        <w:t>nº 06042/2006/DF/COGDC/MF</w:t>
      </w:r>
      <w:r>
        <w:rPr>
          <w:rStyle w:val="Refdenotaderodap"/>
          <w:rFonts w:ascii="Arial" w:hAnsi="Arial" w:cs="Arial"/>
          <w:i/>
          <w:sz w:val="20"/>
          <w:szCs w:val="20"/>
        </w:rPr>
        <w:footnoteReference w:id="27"/>
      </w:r>
      <w:r w:rsidRPr="00AF6284">
        <w:rPr>
          <w:rFonts w:ascii="Arial" w:hAnsi="Arial" w:cs="Arial"/>
          <w:i/>
          <w:sz w:val="20"/>
          <w:szCs w:val="20"/>
        </w:rPr>
        <w:t xml:space="preserve">, de 11 de agosto de 2006, existem no mercado brasileiro de combustíveis as seguintes configurações: (i) </w:t>
      </w:r>
      <w:r w:rsidRPr="006E7E91">
        <w:rPr>
          <w:rFonts w:ascii="Arial" w:hAnsi="Arial" w:cs="Arial"/>
          <w:b/>
          <w:i/>
          <w:sz w:val="20"/>
          <w:szCs w:val="20"/>
        </w:rPr>
        <w:t>distribuidora de combustíveis com rede de revendedores “exclusivos” que vendem seus produtos somente para os revendedores de sua “bandeira”</w:t>
      </w:r>
      <w:r w:rsidRPr="00AF6284">
        <w:rPr>
          <w:rFonts w:ascii="Arial" w:hAnsi="Arial" w:cs="Arial"/>
          <w:i/>
          <w:sz w:val="20"/>
          <w:szCs w:val="20"/>
        </w:rPr>
        <w:t>; (ii</w:t>
      </w:r>
      <w:r w:rsidRPr="006C1A18">
        <w:rPr>
          <w:rFonts w:ascii="Arial" w:hAnsi="Arial" w:cs="Arial"/>
          <w:i/>
          <w:sz w:val="20"/>
          <w:szCs w:val="20"/>
        </w:rPr>
        <w:t>)</w:t>
      </w:r>
      <w:r w:rsidRPr="006E7E91">
        <w:rPr>
          <w:rFonts w:ascii="Arial" w:hAnsi="Arial" w:cs="Arial"/>
          <w:b/>
          <w:i/>
          <w:sz w:val="20"/>
          <w:szCs w:val="20"/>
        </w:rPr>
        <w:t xml:space="preserve"> distribuidora de combustíveis que vendem seus produtos para os revendedores de sua bandeira e para os revendedores “bandeira branca”</w:t>
      </w:r>
      <w:r w:rsidRPr="00AF6284">
        <w:rPr>
          <w:rFonts w:ascii="Arial" w:hAnsi="Arial" w:cs="Arial"/>
          <w:i/>
          <w:sz w:val="20"/>
          <w:szCs w:val="20"/>
        </w:rPr>
        <w:t xml:space="preserve">; e (iii) distribuidora de combustíveis que vendem seus produtos somente para os revendedores de “bandeira branca”. Assim, no segmento de distribuição, as distribuidoras podem atuar por meio de </w:t>
      </w:r>
      <w:r w:rsidRPr="006C1A18">
        <w:rPr>
          <w:rFonts w:ascii="Arial" w:hAnsi="Arial" w:cs="Arial"/>
          <w:b/>
          <w:i/>
          <w:sz w:val="20"/>
          <w:szCs w:val="20"/>
        </w:rPr>
        <w:t>revendedores de bandeira (“exclusivos”)</w:t>
      </w:r>
      <w:r w:rsidRPr="00AF6284">
        <w:rPr>
          <w:rFonts w:ascii="Arial" w:hAnsi="Arial" w:cs="Arial"/>
          <w:i/>
          <w:sz w:val="20"/>
          <w:szCs w:val="20"/>
        </w:rPr>
        <w:t xml:space="preserve">, por meio de revendedores de “bandeira branca” ou, ainda, nesses </w:t>
      </w:r>
      <w:r w:rsidRPr="006C1A18">
        <w:rPr>
          <w:rFonts w:ascii="Arial" w:hAnsi="Arial" w:cs="Arial"/>
          <w:b/>
          <w:i/>
          <w:sz w:val="20"/>
          <w:szCs w:val="20"/>
        </w:rPr>
        <w:t>dois mercados simultaneamente</w:t>
      </w:r>
      <w:r w:rsidRPr="00AF6284">
        <w:rPr>
          <w:rFonts w:ascii="Arial" w:hAnsi="Arial" w:cs="Arial"/>
          <w:i/>
          <w:sz w:val="20"/>
          <w:szCs w:val="20"/>
        </w:rPr>
        <w:t>.</w:t>
      </w:r>
    </w:p>
    <w:p w:rsidR="006E7E91" w:rsidRPr="00AF6284" w:rsidRDefault="006E7E91" w:rsidP="00AF6284">
      <w:pPr>
        <w:ind w:left="1416"/>
        <w:jc w:val="both"/>
        <w:rPr>
          <w:rFonts w:ascii="Arial" w:hAnsi="Arial" w:cs="Arial"/>
          <w:i/>
          <w:sz w:val="20"/>
          <w:szCs w:val="20"/>
        </w:rPr>
      </w:pPr>
    </w:p>
    <w:p w:rsidR="00AF6284" w:rsidRDefault="00AF6284" w:rsidP="00AF6284">
      <w:pPr>
        <w:ind w:left="1416"/>
        <w:jc w:val="both"/>
        <w:rPr>
          <w:rFonts w:ascii="Arial" w:hAnsi="Arial" w:cs="Arial"/>
          <w:i/>
          <w:sz w:val="20"/>
          <w:szCs w:val="20"/>
        </w:rPr>
      </w:pPr>
      <w:r w:rsidRPr="00AF6284">
        <w:rPr>
          <w:rFonts w:ascii="Arial" w:hAnsi="Arial" w:cs="Arial"/>
          <w:i/>
          <w:sz w:val="20"/>
          <w:szCs w:val="20"/>
        </w:rPr>
        <w:t xml:space="preserve">45. Em se tratando das distribuidoras com </w:t>
      </w:r>
      <w:r w:rsidRPr="006E7E91">
        <w:rPr>
          <w:rFonts w:ascii="Arial" w:hAnsi="Arial" w:cs="Arial"/>
          <w:b/>
          <w:i/>
          <w:sz w:val="20"/>
          <w:szCs w:val="20"/>
        </w:rPr>
        <w:t>rede de revendedores exclusivos</w:t>
      </w:r>
      <w:r w:rsidRPr="00AF6284">
        <w:rPr>
          <w:rFonts w:ascii="Arial" w:hAnsi="Arial" w:cs="Arial"/>
          <w:i/>
          <w:sz w:val="20"/>
          <w:szCs w:val="20"/>
        </w:rPr>
        <w:t>, podem ser firmados contratos com cláusulas que, dentre outras questões, dizem respeito a: (i) uso da marca da distribuidora; (ii) investimentos no posto, que são de responsabilidade da distribuidora ou do revendedor; (iii) serviços correlatos ofertados</w:t>
      </w:r>
      <w:r w:rsidR="006E7E91">
        <w:rPr>
          <w:rStyle w:val="Refdenotaderodap"/>
          <w:rFonts w:ascii="Arial" w:hAnsi="Arial" w:cs="Arial"/>
          <w:i/>
          <w:sz w:val="20"/>
          <w:szCs w:val="20"/>
        </w:rPr>
        <w:footnoteReference w:id="28"/>
      </w:r>
      <w:r w:rsidRPr="00AF6284">
        <w:rPr>
          <w:rFonts w:ascii="Arial" w:hAnsi="Arial" w:cs="Arial"/>
          <w:i/>
          <w:sz w:val="20"/>
          <w:szCs w:val="20"/>
        </w:rPr>
        <w:t>; (iv) quantidades mínimas de compra junto à distribuidora; e (v) prazos de entrega e pagamentos.</w:t>
      </w:r>
    </w:p>
    <w:p w:rsidR="003826ED" w:rsidRPr="00AF6284" w:rsidRDefault="003826ED" w:rsidP="003826ED">
      <w:pPr>
        <w:ind w:left="1416"/>
        <w:jc w:val="both"/>
        <w:rPr>
          <w:rFonts w:ascii="Arial" w:hAnsi="Arial" w:cs="Arial"/>
          <w:i/>
          <w:sz w:val="20"/>
          <w:szCs w:val="20"/>
        </w:rPr>
      </w:pPr>
      <w:r>
        <w:rPr>
          <w:rFonts w:ascii="Arial" w:hAnsi="Arial" w:cs="Arial"/>
          <w:i/>
          <w:sz w:val="20"/>
          <w:szCs w:val="20"/>
        </w:rPr>
        <w:t>...............................................................................................................................</w:t>
      </w:r>
    </w:p>
    <w:p w:rsidR="003826ED" w:rsidRDefault="003826ED" w:rsidP="003826ED">
      <w:pPr>
        <w:ind w:left="1416"/>
        <w:jc w:val="both"/>
        <w:rPr>
          <w:rFonts w:ascii="Arial" w:hAnsi="Arial" w:cs="Arial"/>
          <w:i/>
          <w:sz w:val="20"/>
          <w:szCs w:val="20"/>
        </w:rPr>
      </w:pPr>
    </w:p>
    <w:p w:rsidR="003826ED" w:rsidRDefault="003826ED" w:rsidP="003826ED">
      <w:pPr>
        <w:ind w:left="1416"/>
        <w:jc w:val="both"/>
        <w:rPr>
          <w:rFonts w:ascii="Arial" w:hAnsi="Arial" w:cs="Arial"/>
          <w:i/>
          <w:sz w:val="20"/>
          <w:szCs w:val="20"/>
        </w:rPr>
      </w:pPr>
      <w:r w:rsidRPr="003826ED">
        <w:rPr>
          <w:rFonts w:ascii="Arial" w:hAnsi="Arial" w:cs="Arial"/>
          <w:i/>
          <w:sz w:val="20"/>
          <w:szCs w:val="20"/>
        </w:rPr>
        <w:t xml:space="preserve">48. Destarte, a </w:t>
      </w:r>
      <w:r w:rsidRPr="003826ED">
        <w:rPr>
          <w:rFonts w:ascii="Arial" w:hAnsi="Arial" w:cs="Arial"/>
          <w:b/>
          <w:i/>
          <w:sz w:val="20"/>
          <w:szCs w:val="20"/>
        </w:rPr>
        <w:t xml:space="preserve">existência de contratos de exclusividade entre postos “bandeirados” e distribuidoras de combustíveis, </w:t>
      </w:r>
      <w:r w:rsidRPr="006C1A18">
        <w:rPr>
          <w:rFonts w:ascii="Arial" w:hAnsi="Arial" w:cs="Arial"/>
          <w:b/>
          <w:i/>
          <w:sz w:val="20"/>
          <w:szCs w:val="20"/>
          <w:u w:val="single"/>
        </w:rPr>
        <w:t>sem a devida regulação das restrições verticais</w:t>
      </w:r>
      <w:r w:rsidRPr="003826ED">
        <w:rPr>
          <w:rFonts w:ascii="Arial" w:hAnsi="Arial" w:cs="Arial"/>
          <w:b/>
          <w:i/>
          <w:sz w:val="20"/>
          <w:szCs w:val="20"/>
        </w:rPr>
        <w:t xml:space="preserve">, além de gerar práticas comerciais que emulam a integração vertical, possibilita o </w:t>
      </w:r>
      <w:r w:rsidRPr="006C1A18">
        <w:rPr>
          <w:rFonts w:ascii="Arial" w:hAnsi="Arial" w:cs="Arial"/>
          <w:b/>
          <w:i/>
          <w:sz w:val="20"/>
          <w:szCs w:val="20"/>
          <w:u w:val="single"/>
        </w:rPr>
        <w:t>surgimento de práticas envolvendo a fixação do preço de revenda</w:t>
      </w:r>
      <w:r>
        <w:rPr>
          <w:rStyle w:val="Refdenotaderodap"/>
          <w:rFonts w:ascii="Arial" w:hAnsi="Arial" w:cs="Arial"/>
          <w:b/>
          <w:i/>
          <w:sz w:val="20"/>
          <w:szCs w:val="20"/>
        </w:rPr>
        <w:footnoteReference w:id="29"/>
      </w:r>
      <w:r w:rsidRPr="003826ED">
        <w:rPr>
          <w:rFonts w:ascii="Arial" w:hAnsi="Arial" w:cs="Arial"/>
          <w:i/>
          <w:sz w:val="20"/>
          <w:szCs w:val="20"/>
        </w:rPr>
        <w:t xml:space="preserve">. A principal preocupação concernente a esta conduta refere-se à eliminação da competição intramarca. Ademais, </w:t>
      </w:r>
      <w:r w:rsidRPr="00EF3C62">
        <w:rPr>
          <w:rFonts w:ascii="Arial" w:hAnsi="Arial" w:cs="Arial"/>
          <w:b/>
          <w:i/>
          <w:sz w:val="20"/>
          <w:szCs w:val="20"/>
        </w:rPr>
        <w:t xml:space="preserve">a estratégia facilita </w:t>
      </w:r>
      <w:r w:rsidRPr="00605BAC">
        <w:rPr>
          <w:rFonts w:ascii="Arial" w:hAnsi="Arial" w:cs="Arial"/>
          <w:b/>
          <w:i/>
          <w:sz w:val="20"/>
          <w:szCs w:val="20"/>
          <w:u w:val="single"/>
        </w:rPr>
        <w:t>condutas colusivas</w:t>
      </w:r>
      <w:r w:rsidRPr="00EF3C62">
        <w:rPr>
          <w:rFonts w:ascii="Arial" w:hAnsi="Arial" w:cs="Arial"/>
          <w:b/>
          <w:i/>
          <w:sz w:val="20"/>
          <w:szCs w:val="20"/>
        </w:rPr>
        <w:t>, tanto a jusante quanto a montante</w:t>
      </w:r>
      <w:r w:rsidRPr="003826ED">
        <w:rPr>
          <w:rFonts w:ascii="Arial" w:hAnsi="Arial" w:cs="Arial"/>
          <w:i/>
          <w:sz w:val="20"/>
          <w:szCs w:val="20"/>
        </w:rPr>
        <w:t>.</w:t>
      </w:r>
      <w:r w:rsidR="00A53833">
        <w:rPr>
          <w:rFonts w:ascii="Arial" w:hAnsi="Arial" w:cs="Arial"/>
          <w:i/>
          <w:sz w:val="20"/>
          <w:szCs w:val="20"/>
        </w:rPr>
        <w:t xml:space="preserve"> </w:t>
      </w:r>
      <w:r w:rsidR="00A53833" w:rsidRPr="00A53833">
        <w:rPr>
          <w:rFonts w:ascii="Arial" w:hAnsi="Arial" w:cs="Arial"/>
          <w:i/>
          <w:sz w:val="20"/>
          <w:szCs w:val="20"/>
        </w:rPr>
        <w:t xml:space="preserve">Embora essa prática possa ser atribuída a eventuais eficiências relacionadas à proteção dos investimentos específicos na proteção da marca, de modo a evitar o free-riding, comum em casos de restrições verticais, em mercados de produtos homogêneos, a exemplo dos combustíveis, nos quais a competição se dá via preço, </w:t>
      </w:r>
      <w:r w:rsidR="00A53833" w:rsidRPr="00605BAC">
        <w:rPr>
          <w:rFonts w:ascii="Arial" w:hAnsi="Arial" w:cs="Arial"/>
          <w:b/>
          <w:i/>
          <w:sz w:val="20"/>
          <w:szCs w:val="20"/>
          <w:u w:val="single"/>
        </w:rPr>
        <w:t>esse tipo de eficiência não se verifica</w:t>
      </w:r>
      <w:r w:rsidR="00A53833" w:rsidRPr="00A53833">
        <w:rPr>
          <w:rFonts w:ascii="Arial" w:hAnsi="Arial" w:cs="Arial"/>
          <w:i/>
          <w:sz w:val="20"/>
          <w:szCs w:val="20"/>
        </w:rPr>
        <w:t xml:space="preserve">. Por isso, </w:t>
      </w:r>
      <w:r w:rsidR="00A53833" w:rsidRPr="00A53833">
        <w:rPr>
          <w:rFonts w:ascii="Arial" w:hAnsi="Arial" w:cs="Arial"/>
          <w:b/>
          <w:i/>
          <w:sz w:val="20"/>
          <w:szCs w:val="20"/>
        </w:rPr>
        <w:t xml:space="preserve">condutas restritivas, muito provavelmente, tendem a ser ilícitas seja por permitirem que o </w:t>
      </w:r>
      <w:r w:rsidR="00A53833" w:rsidRPr="00605BAC">
        <w:rPr>
          <w:rFonts w:ascii="Arial" w:hAnsi="Arial" w:cs="Arial"/>
          <w:b/>
          <w:i/>
          <w:sz w:val="20"/>
          <w:szCs w:val="20"/>
          <w:u w:val="single"/>
        </w:rPr>
        <w:t>agente com poder de mercado a montante transfira esse poder para o mercado a jusante</w:t>
      </w:r>
      <w:r w:rsidR="00A53833" w:rsidRPr="00A53833">
        <w:rPr>
          <w:rFonts w:ascii="Arial" w:hAnsi="Arial" w:cs="Arial"/>
          <w:b/>
          <w:i/>
          <w:sz w:val="20"/>
          <w:szCs w:val="20"/>
        </w:rPr>
        <w:t xml:space="preserve"> seja por </w:t>
      </w:r>
      <w:r w:rsidR="00A53833" w:rsidRPr="00605BAC">
        <w:rPr>
          <w:rFonts w:ascii="Arial" w:hAnsi="Arial" w:cs="Arial"/>
          <w:b/>
          <w:i/>
          <w:sz w:val="20"/>
          <w:szCs w:val="20"/>
          <w:u w:val="single"/>
        </w:rPr>
        <w:t>facilitarem a adoção de práticas colusivas nesse mercado</w:t>
      </w:r>
      <w:r w:rsidR="00A53833">
        <w:rPr>
          <w:rStyle w:val="Refdenotaderodap"/>
          <w:rFonts w:ascii="Arial" w:hAnsi="Arial" w:cs="Arial"/>
          <w:b/>
          <w:i/>
          <w:sz w:val="20"/>
          <w:szCs w:val="20"/>
        </w:rPr>
        <w:footnoteReference w:id="30"/>
      </w:r>
      <w:r w:rsidR="00A53833" w:rsidRPr="00A53833">
        <w:rPr>
          <w:rFonts w:ascii="Arial" w:hAnsi="Arial" w:cs="Arial"/>
          <w:i/>
          <w:sz w:val="20"/>
          <w:szCs w:val="20"/>
        </w:rPr>
        <w:t>.</w:t>
      </w:r>
    </w:p>
    <w:p w:rsidR="00B42B00" w:rsidRDefault="00B42B00" w:rsidP="003826ED">
      <w:pPr>
        <w:ind w:left="1416"/>
        <w:jc w:val="both"/>
        <w:rPr>
          <w:rFonts w:ascii="Arial" w:hAnsi="Arial" w:cs="Arial"/>
          <w:i/>
          <w:sz w:val="20"/>
          <w:szCs w:val="20"/>
        </w:rPr>
      </w:pPr>
    </w:p>
    <w:p w:rsidR="00B42B00" w:rsidRPr="00B42B00" w:rsidRDefault="00B42B00" w:rsidP="00B42B00">
      <w:pPr>
        <w:ind w:left="1416"/>
        <w:jc w:val="both"/>
        <w:rPr>
          <w:rFonts w:ascii="Arial" w:hAnsi="Arial" w:cs="Arial"/>
          <w:i/>
          <w:sz w:val="20"/>
          <w:szCs w:val="20"/>
        </w:rPr>
      </w:pPr>
      <w:r w:rsidRPr="00B42B00">
        <w:rPr>
          <w:rFonts w:ascii="Arial" w:hAnsi="Arial" w:cs="Arial"/>
          <w:i/>
          <w:sz w:val="20"/>
          <w:szCs w:val="20"/>
        </w:rPr>
        <w:lastRenderedPageBreak/>
        <w:t>49. Segundo Gonçalves (2002)</w:t>
      </w:r>
      <w:r>
        <w:rPr>
          <w:rStyle w:val="Refdenotaderodap"/>
          <w:rFonts w:ascii="Arial" w:hAnsi="Arial" w:cs="Arial"/>
          <w:i/>
          <w:sz w:val="20"/>
          <w:szCs w:val="20"/>
        </w:rPr>
        <w:footnoteReference w:id="31"/>
      </w:r>
      <w:r w:rsidRPr="00B42B00">
        <w:rPr>
          <w:rFonts w:ascii="Arial" w:hAnsi="Arial" w:cs="Arial"/>
          <w:i/>
          <w:sz w:val="20"/>
          <w:szCs w:val="20"/>
        </w:rPr>
        <w:t xml:space="preserve">, no que tange </w:t>
      </w:r>
      <w:r w:rsidRPr="00B42B00">
        <w:rPr>
          <w:rFonts w:ascii="Arial" w:hAnsi="Arial" w:cs="Arial"/>
          <w:b/>
          <w:i/>
          <w:sz w:val="20"/>
          <w:szCs w:val="20"/>
        </w:rPr>
        <w:t>aos efeitos negativos ou anticompetitivos, a fixação de preços de revenda pela distribuidora anula a concorrência via preços entre revendedores que comercializam o mesmo produto</w:t>
      </w:r>
      <w:r w:rsidRPr="00B42B00">
        <w:rPr>
          <w:rFonts w:ascii="Arial" w:hAnsi="Arial" w:cs="Arial"/>
          <w:i/>
          <w:sz w:val="20"/>
          <w:szCs w:val="20"/>
        </w:rPr>
        <w:t xml:space="preserve"> (</w:t>
      </w:r>
      <w:r w:rsidRPr="00B42B00">
        <w:rPr>
          <w:rFonts w:ascii="Arial" w:hAnsi="Arial" w:cs="Arial"/>
          <w:b/>
          <w:i/>
          <w:sz w:val="20"/>
          <w:szCs w:val="20"/>
        </w:rPr>
        <w:t>não somente entre os revendedores com contrato de exclusividade, mas entre todos os concorrentes nos mercados analisados</w:t>
      </w:r>
      <w:r w:rsidRPr="00B42B00">
        <w:rPr>
          <w:rFonts w:ascii="Arial" w:hAnsi="Arial" w:cs="Arial"/>
          <w:i/>
          <w:sz w:val="20"/>
          <w:szCs w:val="20"/>
        </w:rPr>
        <w:t xml:space="preserve">), </w:t>
      </w:r>
      <w:r w:rsidRPr="00B42B00">
        <w:rPr>
          <w:rFonts w:ascii="Arial" w:hAnsi="Arial" w:cs="Arial"/>
          <w:b/>
          <w:i/>
          <w:sz w:val="20"/>
          <w:szCs w:val="20"/>
        </w:rPr>
        <w:t>desestimulando-os a repassar eventuais ganhos de eficiência aos consumidores finais</w:t>
      </w:r>
      <w:r>
        <w:rPr>
          <w:rStyle w:val="Refdenotaderodap"/>
          <w:rFonts w:ascii="Arial" w:hAnsi="Arial" w:cs="Arial"/>
          <w:i/>
          <w:sz w:val="20"/>
          <w:szCs w:val="20"/>
        </w:rPr>
        <w:footnoteReference w:id="32"/>
      </w:r>
      <w:r w:rsidRPr="00B42B00">
        <w:rPr>
          <w:rFonts w:ascii="Arial" w:hAnsi="Arial" w:cs="Arial"/>
          <w:i/>
          <w:sz w:val="20"/>
          <w:szCs w:val="20"/>
        </w:rPr>
        <w:t>. Cabe ressaltar que, diante dos eventuais efeitos nocivos à concorrência relacionados à fixação de preços de revenda, existe uma tendência de condenação dessa conduta pelo órgão de defesa da concorrência</w:t>
      </w:r>
      <w:r w:rsidR="002F48DA">
        <w:rPr>
          <w:rStyle w:val="Refdenotaderodap"/>
          <w:rFonts w:ascii="Arial" w:hAnsi="Arial" w:cs="Arial"/>
          <w:i/>
          <w:sz w:val="20"/>
          <w:szCs w:val="20"/>
        </w:rPr>
        <w:footnoteReference w:id="33"/>
      </w:r>
      <w:r w:rsidRPr="00B42B00">
        <w:rPr>
          <w:rFonts w:ascii="Arial" w:hAnsi="Arial" w:cs="Arial"/>
          <w:i/>
          <w:sz w:val="20"/>
          <w:szCs w:val="20"/>
        </w:rPr>
        <w:t>.</w:t>
      </w:r>
    </w:p>
    <w:p w:rsidR="002F48DA" w:rsidRDefault="002F48DA" w:rsidP="00B42B00">
      <w:pPr>
        <w:ind w:left="1416"/>
        <w:jc w:val="both"/>
        <w:rPr>
          <w:rFonts w:ascii="Arial" w:hAnsi="Arial" w:cs="Arial"/>
          <w:i/>
          <w:sz w:val="20"/>
          <w:szCs w:val="20"/>
        </w:rPr>
      </w:pPr>
    </w:p>
    <w:p w:rsidR="00B42B00" w:rsidRPr="00B42B00" w:rsidRDefault="00B42B00" w:rsidP="00B42B00">
      <w:pPr>
        <w:ind w:left="1416"/>
        <w:jc w:val="both"/>
        <w:rPr>
          <w:rFonts w:ascii="Arial" w:hAnsi="Arial" w:cs="Arial"/>
          <w:i/>
          <w:sz w:val="20"/>
          <w:szCs w:val="20"/>
        </w:rPr>
      </w:pPr>
      <w:r w:rsidRPr="00B42B00">
        <w:rPr>
          <w:rFonts w:ascii="Arial" w:hAnsi="Arial" w:cs="Arial"/>
          <w:i/>
          <w:sz w:val="20"/>
          <w:szCs w:val="20"/>
        </w:rPr>
        <w:t xml:space="preserve">50. Como há a possibilidade de </w:t>
      </w:r>
      <w:r w:rsidRPr="00163D0C">
        <w:rPr>
          <w:rFonts w:ascii="Arial" w:hAnsi="Arial" w:cs="Arial"/>
          <w:b/>
          <w:i/>
          <w:sz w:val="20"/>
          <w:szCs w:val="20"/>
        </w:rPr>
        <w:t>restrições verticais emularem</w:t>
      </w:r>
      <w:r w:rsidRPr="00B42B00">
        <w:rPr>
          <w:rFonts w:ascii="Arial" w:hAnsi="Arial" w:cs="Arial"/>
          <w:i/>
          <w:sz w:val="20"/>
          <w:szCs w:val="20"/>
        </w:rPr>
        <w:t xml:space="preserve"> os resultados de uma </w:t>
      </w:r>
      <w:r w:rsidRPr="00163D0C">
        <w:rPr>
          <w:rFonts w:ascii="Arial" w:hAnsi="Arial" w:cs="Arial"/>
          <w:b/>
          <w:i/>
          <w:sz w:val="20"/>
          <w:szCs w:val="20"/>
        </w:rPr>
        <w:t>integração vertical</w:t>
      </w:r>
      <w:r w:rsidRPr="00B42B00">
        <w:rPr>
          <w:rFonts w:ascii="Arial" w:hAnsi="Arial" w:cs="Arial"/>
          <w:i/>
          <w:sz w:val="20"/>
          <w:szCs w:val="20"/>
        </w:rPr>
        <w:t xml:space="preserve">, </w:t>
      </w:r>
      <w:r w:rsidRPr="00296E46">
        <w:rPr>
          <w:rFonts w:ascii="Arial" w:hAnsi="Arial" w:cs="Arial"/>
          <w:b/>
          <w:i/>
          <w:sz w:val="20"/>
          <w:szCs w:val="20"/>
        </w:rPr>
        <w:t>a vedação de agentes de etapas anteriores da cadeia de combustíveis atuarem na revenda varejista gera custos de transação pela incerteza quanto às práticas comerciais permitidas</w:t>
      </w:r>
      <w:r w:rsidRPr="00B42B00">
        <w:rPr>
          <w:rFonts w:ascii="Arial" w:hAnsi="Arial" w:cs="Arial"/>
          <w:i/>
          <w:sz w:val="20"/>
          <w:szCs w:val="20"/>
        </w:rPr>
        <w:t xml:space="preserve">. Ou seja, </w:t>
      </w:r>
      <w:r w:rsidRPr="0015106D">
        <w:rPr>
          <w:rFonts w:ascii="Arial" w:hAnsi="Arial" w:cs="Arial"/>
          <w:b/>
          <w:i/>
          <w:sz w:val="20"/>
          <w:szCs w:val="20"/>
        </w:rPr>
        <w:t>no cenário apresentado, há o risco de ocorrer questionamentos quanto a uma determinada política de uma distribuidora frente a seus revendedores com consequente prejuízo aos investimentos e aumento do custo do produto</w:t>
      </w:r>
      <w:r w:rsidRPr="00B42B00">
        <w:rPr>
          <w:rFonts w:ascii="Arial" w:hAnsi="Arial" w:cs="Arial"/>
          <w:i/>
          <w:sz w:val="20"/>
          <w:szCs w:val="20"/>
        </w:rPr>
        <w:t>.</w:t>
      </w:r>
    </w:p>
    <w:p w:rsidR="002F48DA" w:rsidRDefault="002F48DA" w:rsidP="00B42B00">
      <w:pPr>
        <w:ind w:left="1416"/>
        <w:jc w:val="both"/>
        <w:rPr>
          <w:rFonts w:ascii="Arial" w:hAnsi="Arial" w:cs="Arial"/>
          <w:i/>
          <w:sz w:val="20"/>
          <w:szCs w:val="20"/>
        </w:rPr>
      </w:pPr>
    </w:p>
    <w:p w:rsidR="0015106D" w:rsidRPr="0015106D" w:rsidRDefault="00B42B00" w:rsidP="0015106D">
      <w:pPr>
        <w:ind w:left="1416"/>
        <w:jc w:val="both"/>
        <w:rPr>
          <w:rFonts w:ascii="Arial" w:hAnsi="Arial" w:cs="Arial"/>
          <w:i/>
          <w:sz w:val="20"/>
          <w:szCs w:val="20"/>
        </w:rPr>
      </w:pPr>
      <w:r w:rsidRPr="00B42B00">
        <w:rPr>
          <w:rFonts w:ascii="Arial" w:hAnsi="Arial" w:cs="Arial"/>
          <w:i/>
          <w:sz w:val="20"/>
          <w:szCs w:val="20"/>
        </w:rPr>
        <w:t xml:space="preserve">51. Diante do exposto, considerando que </w:t>
      </w:r>
      <w:r w:rsidRPr="0015106D">
        <w:rPr>
          <w:rFonts w:ascii="Arial" w:hAnsi="Arial" w:cs="Arial"/>
          <w:b/>
          <w:i/>
          <w:sz w:val="20"/>
          <w:szCs w:val="20"/>
        </w:rPr>
        <w:t xml:space="preserve">as restrições verticais podem produzir efeitos semelhantes, inclusive nocivos à concorrência, aos produzidos pela integração vertical, é </w:t>
      </w:r>
      <w:r w:rsidRPr="00296E46">
        <w:rPr>
          <w:rFonts w:ascii="Arial" w:hAnsi="Arial" w:cs="Arial"/>
          <w:b/>
          <w:i/>
          <w:sz w:val="20"/>
          <w:szCs w:val="20"/>
          <w:u w:val="single"/>
        </w:rPr>
        <w:t>importante que a AN</w:t>
      </w:r>
      <w:r w:rsidRPr="0015106D">
        <w:rPr>
          <w:rFonts w:ascii="Arial" w:hAnsi="Arial" w:cs="Arial"/>
          <w:b/>
          <w:i/>
          <w:sz w:val="20"/>
          <w:szCs w:val="20"/>
        </w:rPr>
        <w:t xml:space="preserve">P esteja atenta aos </w:t>
      </w:r>
      <w:r w:rsidRPr="00296E46">
        <w:rPr>
          <w:rFonts w:ascii="Arial" w:hAnsi="Arial" w:cs="Arial"/>
          <w:b/>
          <w:i/>
          <w:sz w:val="20"/>
          <w:szCs w:val="20"/>
          <w:u w:val="single"/>
        </w:rPr>
        <w:t>diversos arranjos e possibilidades que podem burlar a vedação de determinados agentes atuarem na revenda varejista</w:t>
      </w:r>
      <w:r w:rsidRPr="00B42B00">
        <w:rPr>
          <w:rFonts w:ascii="Arial" w:hAnsi="Arial" w:cs="Arial"/>
          <w:i/>
          <w:sz w:val="20"/>
          <w:szCs w:val="20"/>
        </w:rPr>
        <w:t xml:space="preserve">. </w:t>
      </w:r>
      <w:r w:rsidRPr="00C41A9B">
        <w:rPr>
          <w:rFonts w:ascii="Arial" w:hAnsi="Arial" w:cs="Arial"/>
          <w:b/>
          <w:i/>
          <w:sz w:val="20"/>
          <w:szCs w:val="20"/>
          <w:u w:val="single"/>
        </w:rPr>
        <w:t>Sugere-se</w:t>
      </w:r>
      <w:r w:rsidRPr="00B42B00">
        <w:rPr>
          <w:rFonts w:ascii="Arial" w:hAnsi="Arial" w:cs="Arial"/>
          <w:i/>
          <w:sz w:val="20"/>
          <w:szCs w:val="20"/>
        </w:rPr>
        <w:t>,</w:t>
      </w:r>
      <w:r w:rsidR="0015106D">
        <w:rPr>
          <w:rFonts w:ascii="Arial" w:hAnsi="Arial" w:cs="Arial"/>
          <w:i/>
          <w:sz w:val="20"/>
          <w:szCs w:val="20"/>
        </w:rPr>
        <w:t xml:space="preserve"> </w:t>
      </w:r>
      <w:r w:rsidR="0015106D" w:rsidRPr="0015106D">
        <w:rPr>
          <w:rFonts w:ascii="Arial" w:hAnsi="Arial" w:cs="Arial"/>
          <w:i/>
          <w:sz w:val="20"/>
          <w:szCs w:val="20"/>
        </w:rPr>
        <w:t xml:space="preserve">portanto, que a </w:t>
      </w:r>
      <w:r w:rsidR="0015106D" w:rsidRPr="00296E46">
        <w:rPr>
          <w:rFonts w:ascii="Arial" w:hAnsi="Arial" w:cs="Arial"/>
          <w:b/>
          <w:i/>
          <w:sz w:val="20"/>
          <w:szCs w:val="20"/>
          <w:u w:val="single"/>
        </w:rPr>
        <w:t>agência discipline com mais detalhes a proibição em questão, explicitando quais restrições verticais podem ser praticadas ou quais são vedadas</w:t>
      </w:r>
      <w:r w:rsidR="0015106D" w:rsidRPr="0015106D">
        <w:rPr>
          <w:rFonts w:ascii="Arial" w:hAnsi="Arial" w:cs="Arial"/>
          <w:i/>
          <w:sz w:val="20"/>
          <w:szCs w:val="20"/>
        </w:rPr>
        <w:t>.</w:t>
      </w:r>
    </w:p>
    <w:p w:rsidR="0015106D" w:rsidRDefault="0015106D" w:rsidP="0015106D">
      <w:pPr>
        <w:ind w:left="1416"/>
        <w:jc w:val="both"/>
        <w:rPr>
          <w:rFonts w:ascii="Arial" w:hAnsi="Arial" w:cs="Arial"/>
          <w:i/>
          <w:sz w:val="20"/>
          <w:szCs w:val="20"/>
        </w:rPr>
      </w:pPr>
    </w:p>
    <w:p w:rsidR="00B42B00" w:rsidRPr="00257F91" w:rsidRDefault="0015106D" w:rsidP="0015106D">
      <w:pPr>
        <w:ind w:left="1416"/>
        <w:jc w:val="both"/>
        <w:rPr>
          <w:rFonts w:ascii="Arial" w:hAnsi="Arial" w:cs="Arial"/>
          <w:sz w:val="20"/>
          <w:szCs w:val="20"/>
        </w:rPr>
      </w:pPr>
      <w:r w:rsidRPr="0015106D">
        <w:rPr>
          <w:rFonts w:ascii="Arial" w:hAnsi="Arial" w:cs="Arial"/>
          <w:i/>
          <w:sz w:val="20"/>
          <w:szCs w:val="20"/>
        </w:rPr>
        <w:t xml:space="preserve">52. Além da questão do preço de revenda, </w:t>
      </w:r>
      <w:r w:rsidRPr="0015106D">
        <w:rPr>
          <w:rFonts w:ascii="Arial" w:hAnsi="Arial" w:cs="Arial"/>
          <w:b/>
          <w:i/>
          <w:sz w:val="20"/>
          <w:szCs w:val="20"/>
        </w:rPr>
        <w:t>contratos de comodato e de arrendamento e imposição de volume mínimo de venda</w:t>
      </w:r>
      <w:r w:rsidRPr="0015106D">
        <w:rPr>
          <w:rFonts w:ascii="Arial" w:hAnsi="Arial" w:cs="Arial"/>
          <w:i/>
          <w:sz w:val="20"/>
          <w:szCs w:val="20"/>
        </w:rPr>
        <w:t xml:space="preserve">, seria importante </w:t>
      </w:r>
      <w:r w:rsidRPr="0015106D">
        <w:rPr>
          <w:rFonts w:ascii="Arial" w:hAnsi="Arial" w:cs="Arial"/>
          <w:b/>
          <w:i/>
          <w:sz w:val="20"/>
          <w:szCs w:val="20"/>
        </w:rPr>
        <w:t xml:space="preserve">abordar os contratos de franquia com </w:t>
      </w:r>
      <w:r w:rsidRPr="00C41A9B">
        <w:rPr>
          <w:rFonts w:ascii="Arial" w:hAnsi="Arial" w:cs="Arial"/>
          <w:b/>
          <w:i/>
          <w:sz w:val="20"/>
          <w:szCs w:val="20"/>
          <w:u w:val="single"/>
        </w:rPr>
        <w:t>exclusividade</w:t>
      </w:r>
      <w:r w:rsidRPr="0015106D">
        <w:rPr>
          <w:rFonts w:ascii="Arial" w:hAnsi="Arial" w:cs="Arial"/>
          <w:b/>
          <w:i/>
          <w:sz w:val="20"/>
          <w:szCs w:val="20"/>
        </w:rPr>
        <w:t xml:space="preserve"> e o grau de influência que possam gerar da distribuidora na revenda de combustível</w:t>
      </w:r>
      <w:bookmarkStart w:id="1" w:name="_Ref529815342"/>
      <w:r>
        <w:rPr>
          <w:rStyle w:val="Refdenotaderodap"/>
          <w:rFonts w:ascii="Arial" w:hAnsi="Arial" w:cs="Arial"/>
          <w:b/>
          <w:i/>
          <w:sz w:val="20"/>
          <w:szCs w:val="20"/>
        </w:rPr>
        <w:footnoteReference w:id="34"/>
      </w:r>
      <w:bookmarkEnd w:id="1"/>
      <w:r w:rsidRPr="0015106D">
        <w:rPr>
          <w:rFonts w:ascii="Arial" w:hAnsi="Arial" w:cs="Arial"/>
          <w:i/>
          <w:sz w:val="20"/>
          <w:szCs w:val="20"/>
        </w:rPr>
        <w:t xml:space="preserve">. Com isso, </w:t>
      </w:r>
      <w:r w:rsidRPr="0015106D">
        <w:rPr>
          <w:rFonts w:ascii="Arial" w:hAnsi="Arial" w:cs="Arial"/>
          <w:i/>
          <w:sz w:val="20"/>
          <w:szCs w:val="20"/>
        </w:rPr>
        <w:lastRenderedPageBreak/>
        <w:t xml:space="preserve">seriam </w:t>
      </w:r>
      <w:r w:rsidRPr="00296E46">
        <w:rPr>
          <w:rFonts w:ascii="Arial" w:hAnsi="Arial" w:cs="Arial"/>
          <w:b/>
          <w:i/>
          <w:sz w:val="20"/>
          <w:szCs w:val="20"/>
          <w:u w:val="single"/>
        </w:rPr>
        <w:t>mitigadas as práticas nocivas à concorrência sem inviabilizar aquelas que geram ganhos de eficiência</w:t>
      </w:r>
      <w:r w:rsidRPr="00E02C24">
        <w:rPr>
          <w:rFonts w:ascii="Arial" w:hAnsi="Arial" w:cs="Arial"/>
          <w:b/>
          <w:i/>
          <w:sz w:val="20"/>
          <w:szCs w:val="20"/>
        </w:rPr>
        <w:t xml:space="preserve"> e, assim, menores preços ao consumidor</w:t>
      </w:r>
      <w:r w:rsidRPr="0015106D">
        <w:rPr>
          <w:rFonts w:ascii="Arial" w:hAnsi="Arial" w:cs="Arial"/>
          <w:i/>
          <w:sz w:val="20"/>
          <w:szCs w:val="20"/>
        </w:rPr>
        <w:t xml:space="preserve">. Ademais, seriam mitigadas as incertezas que permeiam a adoção das restrições verticais. </w:t>
      </w:r>
      <w:r w:rsidRPr="00257F91">
        <w:rPr>
          <w:rFonts w:ascii="Arial" w:hAnsi="Arial" w:cs="Arial"/>
          <w:b/>
          <w:i/>
          <w:sz w:val="20"/>
          <w:szCs w:val="20"/>
        </w:rPr>
        <w:t>É oportuno enfatizar que a sugestão apresentada independe da flexibilização ou não da vedação de determinados agentes atuarem na revenda</w:t>
      </w:r>
      <w:r w:rsidRPr="0015106D">
        <w:rPr>
          <w:rFonts w:ascii="Arial" w:hAnsi="Arial" w:cs="Arial"/>
          <w:i/>
          <w:sz w:val="20"/>
          <w:szCs w:val="20"/>
        </w:rPr>
        <w:t>.</w:t>
      </w:r>
      <w:r w:rsidR="00257F91">
        <w:rPr>
          <w:rFonts w:ascii="Arial" w:hAnsi="Arial" w:cs="Arial"/>
          <w:i/>
          <w:sz w:val="20"/>
          <w:szCs w:val="20"/>
        </w:rPr>
        <w:t xml:space="preserve"> </w:t>
      </w:r>
      <w:r w:rsidR="00257F91">
        <w:rPr>
          <w:rFonts w:ascii="Arial" w:hAnsi="Arial" w:cs="Arial"/>
          <w:sz w:val="20"/>
          <w:szCs w:val="20"/>
        </w:rPr>
        <w:t>(Destacamos)</w:t>
      </w:r>
    </w:p>
    <w:p w:rsidR="0008608E" w:rsidRDefault="0008608E" w:rsidP="00AC584B">
      <w:pPr>
        <w:jc w:val="both"/>
        <w:rPr>
          <w:rFonts w:ascii="Arial" w:hAnsi="Arial" w:cs="Arial"/>
        </w:rPr>
      </w:pPr>
    </w:p>
    <w:p w:rsidR="0016435A" w:rsidRDefault="0008608E" w:rsidP="00AC584B">
      <w:pPr>
        <w:jc w:val="both"/>
        <w:rPr>
          <w:rFonts w:ascii="Arial" w:hAnsi="Arial" w:cs="Arial"/>
        </w:rPr>
      </w:pPr>
      <w:r>
        <w:rPr>
          <w:rFonts w:ascii="Arial" w:hAnsi="Arial" w:cs="Arial"/>
        </w:rPr>
        <w:tab/>
      </w:r>
      <w:r w:rsidR="00190436">
        <w:rPr>
          <w:rFonts w:ascii="Arial" w:hAnsi="Arial" w:cs="Arial"/>
        </w:rPr>
        <w:t>Note-se que, apesar da relevância e tecnicidade dos argumentos trazidos no Parecer Analítico da SEAE,</w:t>
      </w:r>
      <w:r w:rsidR="00257F91">
        <w:rPr>
          <w:rFonts w:ascii="Arial" w:hAnsi="Arial" w:cs="Arial"/>
        </w:rPr>
        <w:t xml:space="preserve"> </w:t>
      </w:r>
      <w:r w:rsidR="00190436">
        <w:rPr>
          <w:rFonts w:ascii="Arial" w:hAnsi="Arial" w:cs="Arial"/>
        </w:rPr>
        <w:t>esta i. ANP optou por manter a regra de embandeiramento</w:t>
      </w:r>
      <w:r w:rsidR="0016435A">
        <w:rPr>
          <w:rFonts w:ascii="Arial" w:hAnsi="Arial" w:cs="Arial"/>
        </w:rPr>
        <w:t>,</w:t>
      </w:r>
      <w:r w:rsidR="00190436">
        <w:rPr>
          <w:rFonts w:ascii="Arial" w:hAnsi="Arial" w:cs="Arial"/>
        </w:rPr>
        <w:t xml:space="preserve"> </w:t>
      </w:r>
      <w:r w:rsidR="0016435A">
        <w:rPr>
          <w:rFonts w:ascii="Arial" w:hAnsi="Arial" w:cs="Arial"/>
        </w:rPr>
        <w:t>como proposta em suas portarias e resoluções, sem qualquer avaliação – e</w:t>
      </w:r>
      <w:r w:rsidR="006D34E0">
        <w:rPr>
          <w:rFonts w:ascii="Arial" w:hAnsi="Arial" w:cs="Arial"/>
        </w:rPr>
        <w:t>,</w:t>
      </w:r>
      <w:r w:rsidR="0016435A">
        <w:rPr>
          <w:rFonts w:ascii="Arial" w:hAnsi="Arial" w:cs="Arial"/>
        </w:rPr>
        <w:t xml:space="preserve"> tampouco</w:t>
      </w:r>
      <w:r w:rsidR="006D34E0">
        <w:rPr>
          <w:rFonts w:ascii="Arial" w:hAnsi="Arial" w:cs="Arial"/>
        </w:rPr>
        <w:t>, sem</w:t>
      </w:r>
      <w:r w:rsidR="0016435A">
        <w:rPr>
          <w:rFonts w:ascii="Arial" w:hAnsi="Arial" w:cs="Arial"/>
        </w:rPr>
        <w:t xml:space="preserve"> medidas efetivas – para mitigar os problemas concorrenciais criados por tal regra e agravados pela </w:t>
      </w:r>
      <w:r w:rsidR="00170B2F">
        <w:rPr>
          <w:rFonts w:ascii="Arial" w:hAnsi="Arial" w:cs="Arial"/>
        </w:rPr>
        <w:t xml:space="preserve">celebração de contratos de exclusividade </w:t>
      </w:r>
      <w:r w:rsidR="0016435A">
        <w:rPr>
          <w:rFonts w:ascii="Arial" w:hAnsi="Arial" w:cs="Arial"/>
        </w:rPr>
        <w:t>e su</w:t>
      </w:r>
      <w:r w:rsidR="00170B2F">
        <w:rPr>
          <w:rFonts w:ascii="Arial" w:hAnsi="Arial" w:cs="Arial"/>
        </w:rPr>
        <w:t xml:space="preserve">as cláusulas </w:t>
      </w:r>
      <w:r w:rsidR="0016435A">
        <w:rPr>
          <w:rFonts w:ascii="Arial" w:hAnsi="Arial" w:cs="Arial"/>
        </w:rPr>
        <w:t>limitadoras da concorrência e d</w:t>
      </w:r>
      <w:r w:rsidR="00C41A9B">
        <w:rPr>
          <w:rFonts w:ascii="Arial" w:hAnsi="Arial" w:cs="Arial"/>
        </w:rPr>
        <w:t>as</w:t>
      </w:r>
      <w:r w:rsidR="0016435A">
        <w:rPr>
          <w:rFonts w:ascii="Arial" w:hAnsi="Arial" w:cs="Arial"/>
        </w:rPr>
        <w:t xml:space="preserve"> eficiências econômicas </w:t>
      </w:r>
      <w:r w:rsidR="00170B2F">
        <w:rPr>
          <w:rFonts w:ascii="Arial" w:hAnsi="Arial" w:cs="Arial"/>
        </w:rPr>
        <w:t>a</w:t>
      </w:r>
      <w:r w:rsidR="0016435A">
        <w:rPr>
          <w:rFonts w:ascii="Arial" w:hAnsi="Arial" w:cs="Arial"/>
        </w:rPr>
        <w:t xml:space="preserve">pontadas </w:t>
      </w:r>
      <w:r w:rsidR="00170B2F">
        <w:rPr>
          <w:rFonts w:ascii="Arial" w:hAnsi="Arial" w:cs="Arial"/>
        </w:rPr>
        <w:t xml:space="preserve">pela </w:t>
      </w:r>
      <w:r w:rsidR="0016435A">
        <w:rPr>
          <w:rFonts w:ascii="Arial" w:hAnsi="Arial" w:cs="Arial"/>
        </w:rPr>
        <w:t xml:space="preserve">i. </w:t>
      </w:r>
      <w:r w:rsidR="00170B2F">
        <w:rPr>
          <w:rFonts w:ascii="Arial" w:hAnsi="Arial" w:cs="Arial"/>
        </w:rPr>
        <w:t>SEAE</w:t>
      </w:r>
      <w:r w:rsidR="0016435A">
        <w:rPr>
          <w:rFonts w:ascii="Arial" w:hAnsi="Arial" w:cs="Arial"/>
        </w:rPr>
        <w:t>.</w:t>
      </w:r>
    </w:p>
    <w:p w:rsidR="0016435A" w:rsidRDefault="0016435A" w:rsidP="00AC584B">
      <w:pPr>
        <w:jc w:val="both"/>
        <w:rPr>
          <w:rFonts w:ascii="Arial" w:hAnsi="Arial" w:cs="Arial"/>
        </w:rPr>
      </w:pPr>
    </w:p>
    <w:p w:rsidR="00CF47D4" w:rsidRDefault="0016435A" w:rsidP="0016435A">
      <w:pPr>
        <w:ind w:firstLine="708"/>
        <w:jc w:val="both"/>
        <w:rPr>
          <w:rFonts w:ascii="Arial" w:hAnsi="Arial" w:cs="Arial"/>
        </w:rPr>
      </w:pPr>
      <w:r>
        <w:rPr>
          <w:rFonts w:ascii="Arial" w:hAnsi="Arial" w:cs="Arial"/>
        </w:rPr>
        <w:t>Em outros termos, esta i. ANP</w:t>
      </w:r>
      <w:r w:rsidR="001A6829">
        <w:rPr>
          <w:rFonts w:ascii="Arial" w:hAnsi="Arial" w:cs="Arial"/>
        </w:rPr>
        <w:t xml:space="preserve"> introduziu uma regra (do embandeiramento) sem a realização de estudos pormenorizados e tampouco a introdução de medidas também regulatórias que poderiam </w:t>
      </w:r>
      <w:r w:rsidR="00170B2F">
        <w:rPr>
          <w:rFonts w:ascii="Arial" w:hAnsi="Arial" w:cs="Arial"/>
        </w:rPr>
        <w:t xml:space="preserve">mitigar </w:t>
      </w:r>
      <w:r w:rsidR="001A6829">
        <w:rPr>
          <w:rFonts w:ascii="Arial" w:hAnsi="Arial" w:cs="Arial"/>
        </w:rPr>
        <w:t>o</w:t>
      </w:r>
      <w:r w:rsidR="00170B2F">
        <w:rPr>
          <w:rFonts w:ascii="Arial" w:hAnsi="Arial" w:cs="Arial"/>
        </w:rPr>
        <w:t>s efeitos anticompetitivos destacados pela SEAE</w:t>
      </w:r>
      <w:r w:rsidR="00CF47D4">
        <w:rPr>
          <w:rFonts w:ascii="Arial" w:hAnsi="Arial" w:cs="Arial"/>
        </w:rPr>
        <w:t xml:space="preserve"> e pelo próprio CADE, conforme se destacará </w:t>
      </w:r>
      <w:r w:rsidR="00563BA2">
        <w:rPr>
          <w:rFonts w:ascii="Arial" w:hAnsi="Arial" w:cs="Arial"/>
        </w:rPr>
        <w:t>na próxima seção, abaixo</w:t>
      </w:r>
      <w:r w:rsidR="00CF47D4">
        <w:rPr>
          <w:rFonts w:ascii="Arial" w:hAnsi="Arial" w:cs="Arial"/>
        </w:rPr>
        <w:t>.</w:t>
      </w:r>
    </w:p>
    <w:p w:rsidR="00CF47D4" w:rsidRDefault="00CF47D4" w:rsidP="0016435A">
      <w:pPr>
        <w:ind w:firstLine="708"/>
        <w:jc w:val="both"/>
        <w:rPr>
          <w:rFonts w:ascii="Arial" w:hAnsi="Arial" w:cs="Arial"/>
        </w:rPr>
      </w:pPr>
    </w:p>
    <w:p w:rsidR="006D34E0" w:rsidRDefault="00CF47D4" w:rsidP="0016435A">
      <w:pPr>
        <w:ind w:firstLine="708"/>
        <w:jc w:val="both"/>
        <w:rPr>
          <w:rFonts w:ascii="Arial" w:hAnsi="Arial" w:cs="Arial"/>
        </w:rPr>
      </w:pPr>
      <w:r>
        <w:rPr>
          <w:rFonts w:ascii="Arial" w:hAnsi="Arial" w:cs="Arial"/>
        </w:rPr>
        <w:t>Observa-se ainda</w:t>
      </w:r>
      <w:r w:rsidR="0009595E">
        <w:rPr>
          <w:rFonts w:ascii="Arial" w:hAnsi="Arial" w:cs="Arial"/>
        </w:rPr>
        <w:t xml:space="preserve"> que,</w:t>
      </w:r>
      <w:r w:rsidR="00E53B19">
        <w:rPr>
          <w:rFonts w:ascii="Arial" w:hAnsi="Arial" w:cs="Arial"/>
        </w:rPr>
        <w:t xml:space="preserve"> </w:t>
      </w:r>
      <w:r w:rsidR="0009595E">
        <w:rPr>
          <w:rFonts w:ascii="Arial" w:hAnsi="Arial" w:cs="Arial"/>
        </w:rPr>
        <w:t xml:space="preserve">mesmo </w:t>
      </w:r>
      <w:r>
        <w:rPr>
          <w:rFonts w:ascii="Arial" w:hAnsi="Arial" w:cs="Arial"/>
        </w:rPr>
        <w:t xml:space="preserve">a i. SEAE </w:t>
      </w:r>
      <w:r w:rsidR="0009595E">
        <w:rPr>
          <w:rFonts w:ascii="Arial" w:hAnsi="Arial" w:cs="Arial"/>
        </w:rPr>
        <w:t xml:space="preserve">tendo </w:t>
      </w:r>
      <w:r>
        <w:rPr>
          <w:rFonts w:ascii="Arial" w:hAnsi="Arial" w:cs="Arial"/>
        </w:rPr>
        <w:t>apont</w:t>
      </w:r>
      <w:r w:rsidR="0009595E">
        <w:rPr>
          <w:rFonts w:ascii="Arial" w:hAnsi="Arial" w:cs="Arial"/>
        </w:rPr>
        <w:t>ado</w:t>
      </w:r>
      <w:r>
        <w:rPr>
          <w:rFonts w:ascii="Arial" w:hAnsi="Arial" w:cs="Arial"/>
        </w:rPr>
        <w:t xml:space="preserve"> em seu Parecer Analítico (vide nota </w:t>
      </w:r>
      <w:r>
        <w:rPr>
          <w:rFonts w:ascii="Arial" w:hAnsi="Arial" w:cs="Arial"/>
        </w:rPr>
        <w:fldChar w:fldCharType="begin"/>
      </w:r>
      <w:r>
        <w:rPr>
          <w:rFonts w:ascii="Arial" w:hAnsi="Arial" w:cs="Arial"/>
        </w:rPr>
        <w:instrText xml:space="preserve"> NOTEREF _Ref529815342 \h </w:instrText>
      </w:r>
      <w:r>
        <w:rPr>
          <w:rFonts w:ascii="Arial" w:hAnsi="Arial" w:cs="Arial"/>
        </w:rPr>
      </w:r>
      <w:r>
        <w:rPr>
          <w:rFonts w:ascii="Arial" w:hAnsi="Arial" w:cs="Arial"/>
        </w:rPr>
        <w:fldChar w:fldCharType="separate"/>
      </w:r>
      <w:r>
        <w:rPr>
          <w:rFonts w:ascii="Arial" w:hAnsi="Arial" w:cs="Arial"/>
        </w:rPr>
        <w:t>31</w:t>
      </w:r>
      <w:r>
        <w:rPr>
          <w:rFonts w:ascii="Arial" w:hAnsi="Arial" w:cs="Arial"/>
        </w:rPr>
        <w:fldChar w:fldCharType="end"/>
      </w:r>
      <w:r>
        <w:rPr>
          <w:rFonts w:ascii="Arial" w:hAnsi="Arial" w:cs="Arial"/>
        </w:rPr>
        <w:t>) medidas adotadas por regulações de outros países</w:t>
      </w:r>
      <w:r w:rsidR="006D34E0">
        <w:rPr>
          <w:rFonts w:ascii="Arial" w:hAnsi="Arial" w:cs="Arial"/>
        </w:rPr>
        <w:t xml:space="preserve"> e</w:t>
      </w:r>
      <w:r>
        <w:rPr>
          <w:rFonts w:ascii="Arial" w:hAnsi="Arial" w:cs="Arial"/>
        </w:rPr>
        <w:t xml:space="preserve"> que poderiam </w:t>
      </w:r>
      <w:r w:rsidR="00563BA2">
        <w:rPr>
          <w:rFonts w:ascii="Arial" w:hAnsi="Arial" w:cs="Arial"/>
        </w:rPr>
        <w:t>servir como um norte para a análise desta i. ANP</w:t>
      </w:r>
      <w:r w:rsidR="006D34E0">
        <w:rPr>
          <w:rFonts w:ascii="Arial" w:hAnsi="Arial" w:cs="Arial"/>
        </w:rPr>
        <w:t>,</w:t>
      </w:r>
      <w:r w:rsidR="00563BA2">
        <w:rPr>
          <w:rFonts w:ascii="Arial" w:hAnsi="Arial" w:cs="Arial"/>
        </w:rPr>
        <w:t xml:space="preserve"> </w:t>
      </w:r>
      <w:r w:rsidR="006D34E0">
        <w:rPr>
          <w:rFonts w:ascii="Arial" w:hAnsi="Arial" w:cs="Arial"/>
        </w:rPr>
        <w:t>a</w:t>
      </w:r>
      <w:r w:rsidR="00563BA2">
        <w:rPr>
          <w:rFonts w:ascii="Arial" w:hAnsi="Arial" w:cs="Arial"/>
        </w:rPr>
        <w:t xml:space="preserve"> </w:t>
      </w:r>
      <w:r w:rsidR="00B0371C">
        <w:rPr>
          <w:rFonts w:ascii="Arial" w:hAnsi="Arial" w:cs="Arial"/>
        </w:rPr>
        <w:t xml:space="preserve">revisão de sua proposta inicial com o objetivo de </w:t>
      </w:r>
      <w:r>
        <w:rPr>
          <w:rFonts w:ascii="Arial" w:hAnsi="Arial" w:cs="Arial"/>
        </w:rPr>
        <w:t>mitigar os problemas compe</w:t>
      </w:r>
      <w:r w:rsidR="0009595E">
        <w:rPr>
          <w:rFonts w:ascii="Arial" w:hAnsi="Arial" w:cs="Arial"/>
        </w:rPr>
        <w:t>titivos apontados e inerentes à regra do embandeiramento e dos contratos de exclusividade</w:t>
      </w:r>
      <w:r w:rsidR="006D34E0">
        <w:rPr>
          <w:rFonts w:ascii="Arial" w:hAnsi="Arial" w:cs="Arial"/>
        </w:rPr>
        <w:t xml:space="preserve"> nãio ocorreu. Os gestores da</w:t>
      </w:r>
      <w:r w:rsidR="0009595E">
        <w:rPr>
          <w:rFonts w:ascii="Arial" w:hAnsi="Arial" w:cs="Arial"/>
        </w:rPr>
        <w:t xml:space="preserve"> i. ANP</w:t>
      </w:r>
      <w:r w:rsidR="006D34E0">
        <w:rPr>
          <w:rFonts w:ascii="Arial" w:hAnsi="Arial" w:cs="Arial"/>
        </w:rPr>
        <w:t>, responsáveis pelas normas propostas, preferiram mantê-las sem maiores alterações e tampouco reflexão sobre os pontos ali destacados pela SEAE</w:t>
      </w:r>
      <w:r w:rsidR="0009595E">
        <w:rPr>
          <w:rFonts w:ascii="Arial" w:hAnsi="Arial" w:cs="Arial"/>
        </w:rPr>
        <w:t>.</w:t>
      </w:r>
      <w:r w:rsidR="00E53B19">
        <w:rPr>
          <w:rFonts w:ascii="Arial" w:hAnsi="Arial" w:cs="Arial"/>
        </w:rPr>
        <w:t xml:space="preserve"> </w:t>
      </w:r>
    </w:p>
    <w:p w:rsidR="006D34E0" w:rsidRDefault="006D34E0" w:rsidP="0016435A">
      <w:pPr>
        <w:ind w:firstLine="708"/>
        <w:jc w:val="both"/>
        <w:rPr>
          <w:rFonts w:ascii="Arial" w:hAnsi="Arial" w:cs="Arial"/>
          <w:b/>
        </w:rPr>
      </w:pPr>
    </w:p>
    <w:p w:rsidR="00E53B19" w:rsidRDefault="00B0371C" w:rsidP="0016435A">
      <w:pPr>
        <w:ind w:firstLine="708"/>
        <w:jc w:val="both"/>
        <w:rPr>
          <w:rFonts w:ascii="Arial" w:hAnsi="Arial" w:cs="Arial"/>
        </w:rPr>
      </w:pPr>
      <w:r w:rsidRPr="00B724A8">
        <w:rPr>
          <w:rFonts w:ascii="Arial" w:hAnsi="Arial" w:cs="Arial"/>
          <w:b/>
        </w:rPr>
        <w:t>Espera-se</w:t>
      </w:r>
      <w:r w:rsidR="006D34E0">
        <w:rPr>
          <w:rFonts w:ascii="Arial" w:hAnsi="Arial" w:cs="Arial"/>
          <w:b/>
        </w:rPr>
        <w:t>, portanto,</w:t>
      </w:r>
      <w:r w:rsidRPr="00B724A8">
        <w:rPr>
          <w:rFonts w:ascii="Arial" w:hAnsi="Arial" w:cs="Arial"/>
          <w:b/>
        </w:rPr>
        <w:t xml:space="preserve"> </w:t>
      </w:r>
      <w:r w:rsidR="00B724A8">
        <w:rPr>
          <w:rFonts w:ascii="Arial" w:hAnsi="Arial" w:cs="Arial"/>
          <w:b/>
        </w:rPr>
        <w:t xml:space="preserve">com grande ansiedade </w:t>
      </w:r>
      <w:r w:rsidRPr="00B724A8">
        <w:rPr>
          <w:rFonts w:ascii="Arial" w:hAnsi="Arial" w:cs="Arial"/>
          <w:b/>
        </w:rPr>
        <w:t xml:space="preserve">que a partir desta louvável </w:t>
      </w:r>
      <w:r w:rsidR="00B724A8">
        <w:rPr>
          <w:rFonts w:ascii="Arial" w:hAnsi="Arial" w:cs="Arial"/>
          <w:b/>
        </w:rPr>
        <w:t xml:space="preserve">iniciativa </w:t>
      </w:r>
      <w:r w:rsidRPr="00B724A8">
        <w:rPr>
          <w:rFonts w:ascii="Arial" w:hAnsi="Arial" w:cs="Arial"/>
          <w:b/>
        </w:rPr>
        <w:t>da atual</w:t>
      </w:r>
      <w:r w:rsidR="00B724A8" w:rsidRPr="00B724A8">
        <w:rPr>
          <w:rFonts w:ascii="Arial" w:hAnsi="Arial" w:cs="Arial"/>
          <w:b/>
        </w:rPr>
        <w:t xml:space="preserve"> diretoria da ANP</w:t>
      </w:r>
      <w:r w:rsidRPr="00B724A8">
        <w:rPr>
          <w:rFonts w:ascii="Arial" w:hAnsi="Arial" w:cs="Arial"/>
          <w:b/>
        </w:rPr>
        <w:t>, est</w:t>
      </w:r>
      <w:r w:rsidR="00B724A8">
        <w:rPr>
          <w:rFonts w:ascii="Arial" w:hAnsi="Arial" w:cs="Arial"/>
          <w:b/>
        </w:rPr>
        <w:t>a</w:t>
      </w:r>
      <w:r w:rsidRPr="00B724A8">
        <w:rPr>
          <w:rFonts w:ascii="Arial" w:hAnsi="Arial" w:cs="Arial"/>
          <w:b/>
        </w:rPr>
        <w:t xml:space="preserve">s </w:t>
      </w:r>
      <w:r w:rsidR="00B724A8">
        <w:rPr>
          <w:rFonts w:ascii="Arial" w:hAnsi="Arial" w:cs="Arial"/>
          <w:b/>
        </w:rPr>
        <w:t xml:space="preserve">omissões e </w:t>
      </w:r>
      <w:r w:rsidRPr="00B724A8">
        <w:rPr>
          <w:rFonts w:ascii="Arial" w:hAnsi="Arial" w:cs="Arial"/>
          <w:b/>
        </w:rPr>
        <w:t>temas sejam de fato melhor analisados e apreciados e que os problemas competitivos</w:t>
      </w:r>
      <w:r w:rsidR="00B724A8">
        <w:rPr>
          <w:rFonts w:ascii="Arial" w:hAnsi="Arial" w:cs="Arial"/>
          <w:b/>
        </w:rPr>
        <w:t xml:space="preserve"> </w:t>
      </w:r>
      <w:r w:rsidR="00A54F20">
        <w:rPr>
          <w:rFonts w:ascii="Arial" w:hAnsi="Arial" w:cs="Arial"/>
          <w:b/>
        </w:rPr>
        <w:t>citados pela SEAE, SG e CADE</w:t>
      </w:r>
      <w:r w:rsidRPr="00B724A8">
        <w:rPr>
          <w:rFonts w:ascii="Arial" w:hAnsi="Arial" w:cs="Arial"/>
          <w:b/>
        </w:rPr>
        <w:t xml:space="preserve"> sejam corrigidos a partir da reformulação da regulação atualmente em vigor</w:t>
      </w:r>
      <w:r>
        <w:rPr>
          <w:rFonts w:ascii="Arial" w:hAnsi="Arial" w:cs="Arial"/>
        </w:rPr>
        <w:t>.</w:t>
      </w:r>
    </w:p>
    <w:p w:rsidR="00E53B19" w:rsidRDefault="00E53B19" w:rsidP="00AC584B">
      <w:pPr>
        <w:jc w:val="both"/>
        <w:rPr>
          <w:rFonts w:ascii="Arial" w:hAnsi="Arial" w:cs="Arial"/>
        </w:rPr>
      </w:pPr>
    </w:p>
    <w:p w:rsidR="006D34E0" w:rsidRDefault="00E53B19" w:rsidP="00E53B19">
      <w:pPr>
        <w:ind w:firstLine="708"/>
        <w:jc w:val="both"/>
        <w:rPr>
          <w:rFonts w:ascii="Arial" w:hAnsi="Arial" w:cs="Arial"/>
        </w:rPr>
      </w:pPr>
      <w:r>
        <w:rPr>
          <w:rFonts w:ascii="Arial" w:hAnsi="Arial" w:cs="Arial"/>
        </w:rPr>
        <w:t xml:space="preserve">Retomando a análise da </w:t>
      </w:r>
      <w:r w:rsidR="00521993">
        <w:rPr>
          <w:rFonts w:ascii="Arial" w:hAnsi="Arial" w:cs="Arial"/>
        </w:rPr>
        <w:t>legislação infralegal e dos argumentos e fundamentos adotados pela ANP para a implementação dessa legislação, ressalte-se que a</w:t>
      </w:r>
      <w:r w:rsidR="00F52718">
        <w:rPr>
          <w:rFonts w:ascii="Arial" w:hAnsi="Arial" w:cs="Arial"/>
        </w:rPr>
        <w:t xml:space="preserve"> Nota Técnica </w:t>
      </w:r>
      <w:r w:rsidR="005A03DD" w:rsidRPr="00262CFE">
        <w:rPr>
          <w:rFonts w:ascii="Arial" w:hAnsi="Arial" w:cs="Arial"/>
        </w:rPr>
        <w:t>40/SAB/13</w:t>
      </w:r>
      <w:r w:rsidR="00F52718">
        <w:rPr>
          <w:rFonts w:ascii="Arial" w:hAnsi="Arial" w:cs="Arial"/>
        </w:rPr>
        <w:t xml:space="preserve"> não traz</w:t>
      </w:r>
      <w:r w:rsidR="00521993">
        <w:rPr>
          <w:rFonts w:ascii="Arial" w:hAnsi="Arial" w:cs="Arial"/>
        </w:rPr>
        <w:t>, por seu turno,</w:t>
      </w:r>
      <w:r w:rsidR="00F52718">
        <w:rPr>
          <w:rFonts w:ascii="Arial" w:hAnsi="Arial" w:cs="Arial"/>
        </w:rPr>
        <w:t xml:space="preserve"> qualquer explicação ou justificativa técnica ou econômica para a adoção da regra de embandeiramento</w:t>
      </w:r>
      <w:r w:rsidR="00A54F20">
        <w:rPr>
          <w:rFonts w:ascii="Arial" w:hAnsi="Arial" w:cs="Arial"/>
        </w:rPr>
        <w:t>. Por esta</w:t>
      </w:r>
      <w:r w:rsidR="00F52718">
        <w:rPr>
          <w:rFonts w:ascii="Arial" w:hAnsi="Arial" w:cs="Arial"/>
        </w:rPr>
        <w:t xml:space="preserve"> razão deixa</w:t>
      </w:r>
      <w:r w:rsidR="00A54F20">
        <w:rPr>
          <w:rFonts w:ascii="Arial" w:hAnsi="Arial" w:cs="Arial"/>
        </w:rPr>
        <w:t>re</w:t>
      </w:r>
      <w:r w:rsidR="00F52718">
        <w:rPr>
          <w:rFonts w:ascii="Arial" w:hAnsi="Arial" w:cs="Arial"/>
        </w:rPr>
        <w:t>mos de tecer maiores comentários sobre o seu teor.</w:t>
      </w:r>
      <w:r w:rsidR="00521993">
        <w:rPr>
          <w:rFonts w:ascii="Arial" w:hAnsi="Arial" w:cs="Arial"/>
        </w:rPr>
        <w:t xml:space="preserve"> </w:t>
      </w:r>
    </w:p>
    <w:p w:rsidR="006D34E0" w:rsidRDefault="006D34E0" w:rsidP="00E53B19">
      <w:pPr>
        <w:ind w:firstLine="708"/>
        <w:jc w:val="both"/>
        <w:rPr>
          <w:rFonts w:ascii="Arial" w:hAnsi="Arial" w:cs="Arial"/>
        </w:rPr>
      </w:pPr>
    </w:p>
    <w:p w:rsidR="00171568" w:rsidRDefault="00521993" w:rsidP="00E53B19">
      <w:pPr>
        <w:ind w:firstLine="708"/>
        <w:jc w:val="both"/>
        <w:rPr>
          <w:rFonts w:ascii="Arial" w:hAnsi="Arial" w:cs="Arial"/>
        </w:rPr>
      </w:pPr>
      <w:r>
        <w:rPr>
          <w:rFonts w:ascii="Arial" w:hAnsi="Arial" w:cs="Arial"/>
        </w:rPr>
        <w:t xml:space="preserve">Não obstante isso, </w:t>
      </w:r>
      <w:r w:rsidR="00A54F20">
        <w:rPr>
          <w:rFonts w:ascii="Arial" w:hAnsi="Arial" w:cs="Arial"/>
        </w:rPr>
        <w:t xml:space="preserve">ressalte-se que </w:t>
      </w:r>
      <w:r>
        <w:rPr>
          <w:rFonts w:ascii="Arial" w:hAnsi="Arial" w:cs="Arial"/>
        </w:rPr>
        <w:t>a i. SEAE ratific</w:t>
      </w:r>
      <w:r w:rsidR="0009595E">
        <w:rPr>
          <w:rFonts w:ascii="Arial" w:hAnsi="Arial" w:cs="Arial"/>
        </w:rPr>
        <w:t>ou</w:t>
      </w:r>
      <w:r>
        <w:rPr>
          <w:rFonts w:ascii="Arial" w:hAnsi="Arial" w:cs="Arial"/>
        </w:rPr>
        <w:t xml:space="preserve"> </w:t>
      </w:r>
      <w:r w:rsidR="009A77BB">
        <w:rPr>
          <w:rFonts w:ascii="Arial" w:hAnsi="Arial" w:cs="Arial"/>
        </w:rPr>
        <w:t>e reiter</w:t>
      </w:r>
      <w:r w:rsidR="0009595E">
        <w:rPr>
          <w:rFonts w:ascii="Arial" w:hAnsi="Arial" w:cs="Arial"/>
        </w:rPr>
        <w:t>ou</w:t>
      </w:r>
      <w:r w:rsidR="00A42654">
        <w:rPr>
          <w:rFonts w:ascii="Arial" w:hAnsi="Arial" w:cs="Arial"/>
        </w:rPr>
        <w:t>,</w:t>
      </w:r>
      <w:r w:rsidR="009A77BB">
        <w:rPr>
          <w:rFonts w:ascii="Arial" w:hAnsi="Arial" w:cs="Arial"/>
        </w:rPr>
        <w:t xml:space="preserve"> </w:t>
      </w:r>
      <w:r w:rsidR="00A42654">
        <w:rPr>
          <w:rFonts w:ascii="Arial" w:hAnsi="Arial" w:cs="Arial"/>
        </w:rPr>
        <w:t xml:space="preserve">em seu </w:t>
      </w:r>
      <w:r w:rsidR="009A77BB">
        <w:rPr>
          <w:rFonts w:ascii="Arial" w:hAnsi="Arial" w:cs="Arial"/>
        </w:rPr>
        <w:t xml:space="preserve">Parecer Analítico sobre Regras Regulatórias nº </w:t>
      </w:r>
      <w:r w:rsidR="009A77BB">
        <w:rPr>
          <w:rFonts w:ascii="Arial" w:hAnsi="Arial" w:cs="Arial"/>
        </w:rPr>
        <w:lastRenderedPageBreak/>
        <w:t>110/COGUN/COGEN/SEAE/MF</w:t>
      </w:r>
      <w:r w:rsidR="009A77BB">
        <w:rPr>
          <w:rStyle w:val="Refdenotaderodap"/>
          <w:rFonts w:ascii="Arial" w:hAnsi="Arial" w:cs="Arial"/>
        </w:rPr>
        <w:footnoteReference w:id="35"/>
      </w:r>
      <w:r w:rsidR="00A42654">
        <w:rPr>
          <w:rFonts w:ascii="Arial" w:hAnsi="Arial" w:cs="Arial"/>
        </w:rPr>
        <w:t>, os mesmos comentários feitos à Nota Técnica nº </w:t>
      </w:r>
      <w:r w:rsidR="00A42654" w:rsidRPr="00262CFE">
        <w:rPr>
          <w:rFonts w:ascii="Arial" w:hAnsi="Arial" w:cs="Arial"/>
        </w:rPr>
        <w:t>366/SAB/12</w:t>
      </w:r>
      <w:r w:rsidR="00A42654">
        <w:rPr>
          <w:rFonts w:ascii="Arial" w:hAnsi="Arial" w:cs="Arial"/>
        </w:rPr>
        <w:t xml:space="preserve"> ao comentar os argumentos e fundamentos apontados na Nota Técnica 40/SAB/13</w:t>
      </w:r>
      <w:r w:rsidR="009A77BB">
        <w:rPr>
          <w:rFonts w:ascii="Arial" w:hAnsi="Arial" w:cs="Arial"/>
        </w:rPr>
        <w:t xml:space="preserve">.  </w:t>
      </w:r>
    </w:p>
    <w:p w:rsidR="00164509" w:rsidRDefault="00164509" w:rsidP="00AC584B">
      <w:pPr>
        <w:jc w:val="both"/>
        <w:rPr>
          <w:rFonts w:ascii="Arial" w:hAnsi="Arial" w:cs="Arial"/>
        </w:rPr>
      </w:pPr>
    </w:p>
    <w:p w:rsidR="00CA7FE3" w:rsidRDefault="00164509" w:rsidP="00AC584B">
      <w:pPr>
        <w:jc w:val="both"/>
        <w:rPr>
          <w:rFonts w:ascii="Arial" w:hAnsi="Arial" w:cs="Arial"/>
        </w:rPr>
      </w:pPr>
      <w:r>
        <w:rPr>
          <w:rFonts w:ascii="Arial" w:hAnsi="Arial" w:cs="Arial"/>
        </w:rPr>
        <w:tab/>
        <w:t>Por todo o exposto, não restam dúvidas de que as justificativas apresentadas pel</w:t>
      </w:r>
      <w:r w:rsidR="006D34E0">
        <w:rPr>
          <w:rFonts w:ascii="Arial" w:hAnsi="Arial" w:cs="Arial"/>
        </w:rPr>
        <w:t>os gestores da</w:t>
      </w:r>
      <w:r>
        <w:rPr>
          <w:rFonts w:ascii="Arial" w:hAnsi="Arial" w:cs="Arial"/>
        </w:rPr>
        <w:t xml:space="preserve"> ANP</w:t>
      </w:r>
      <w:r w:rsidR="00C50AE1">
        <w:rPr>
          <w:rFonts w:ascii="Arial" w:hAnsi="Arial" w:cs="Arial"/>
        </w:rPr>
        <w:t xml:space="preserve"> à época</w:t>
      </w:r>
      <w:r w:rsidR="00A01A36">
        <w:rPr>
          <w:rFonts w:ascii="Arial" w:hAnsi="Arial" w:cs="Arial"/>
        </w:rPr>
        <w:t xml:space="preserve"> </w:t>
      </w:r>
      <w:r w:rsidR="00C50AE1">
        <w:rPr>
          <w:rFonts w:ascii="Arial" w:hAnsi="Arial" w:cs="Arial"/>
        </w:rPr>
        <w:t>d</w:t>
      </w:r>
      <w:r w:rsidR="00303144">
        <w:rPr>
          <w:rFonts w:ascii="Arial" w:hAnsi="Arial" w:cs="Arial"/>
        </w:rPr>
        <w:t xml:space="preserve">a </w:t>
      </w:r>
      <w:r>
        <w:rPr>
          <w:rFonts w:ascii="Arial" w:hAnsi="Arial" w:cs="Arial"/>
        </w:rPr>
        <w:t>introdu</w:t>
      </w:r>
      <w:r w:rsidR="00303144">
        <w:rPr>
          <w:rFonts w:ascii="Arial" w:hAnsi="Arial" w:cs="Arial"/>
        </w:rPr>
        <w:t>ção</w:t>
      </w:r>
      <w:r>
        <w:rPr>
          <w:rFonts w:ascii="Arial" w:hAnsi="Arial" w:cs="Arial"/>
        </w:rPr>
        <w:t xml:space="preserve"> no Brasil </w:t>
      </w:r>
      <w:r w:rsidR="00303144">
        <w:rPr>
          <w:rFonts w:ascii="Arial" w:hAnsi="Arial" w:cs="Arial"/>
        </w:rPr>
        <w:t>d</w:t>
      </w:r>
      <w:r>
        <w:rPr>
          <w:rFonts w:ascii="Arial" w:hAnsi="Arial" w:cs="Arial"/>
        </w:rPr>
        <w:t>a regra do embandeiramento, além de contrariarem a teoria econômica</w:t>
      </w:r>
      <w:r w:rsidR="0047544E">
        <w:rPr>
          <w:rFonts w:ascii="Arial" w:hAnsi="Arial" w:cs="Arial"/>
        </w:rPr>
        <w:t xml:space="preserve"> aplicável ao mercado em questão (</w:t>
      </w:r>
      <w:r w:rsidR="0047544E" w:rsidRPr="00212963">
        <w:rPr>
          <w:rFonts w:ascii="Arial" w:hAnsi="Arial" w:cs="Arial"/>
          <w:i/>
        </w:rPr>
        <w:t>i.e.</w:t>
      </w:r>
      <w:r w:rsidR="0047544E">
        <w:rPr>
          <w:rFonts w:ascii="Arial" w:hAnsi="Arial" w:cs="Arial"/>
        </w:rPr>
        <w:t>, de bens homogêneos com pouca ou nenhuma inovação em termos dos serviços de venda e revenda)</w:t>
      </w:r>
      <w:r>
        <w:rPr>
          <w:rFonts w:ascii="Arial" w:hAnsi="Arial" w:cs="Arial"/>
        </w:rPr>
        <w:t xml:space="preserve">, são omissas </w:t>
      </w:r>
      <w:r w:rsidR="0047544E">
        <w:rPr>
          <w:rFonts w:ascii="Arial" w:hAnsi="Arial" w:cs="Arial"/>
        </w:rPr>
        <w:t>em</w:t>
      </w:r>
      <w:r w:rsidR="00303144">
        <w:rPr>
          <w:rFonts w:ascii="Arial" w:hAnsi="Arial" w:cs="Arial"/>
        </w:rPr>
        <w:t xml:space="preserve"> relação às eficiências econômicas pretendidas com tais regras</w:t>
      </w:r>
      <w:r w:rsidR="00A44BDF">
        <w:rPr>
          <w:rFonts w:ascii="Arial" w:hAnsi="Arial" w:cs="Arial"/>
        </w:rPr>
        <w:t xml:space="preserve">, especialmente </w:t>
      </w:r>
      <w:r w:rsidR="005109C2">
        <w:rPr>
          <w:rFonts w:ascii="Arial" w:hAnsi="Arial" w:cs="Arial"/>
        </w:rPr>
        <w:t xml:space="preserve">no que tange </w:t>
      </w:r>
      <w:r w:rsidR="00706143">
        <w:rPr>
          <w:rFonts w:ascii="Arial" w:hAnsi="Arial" w:cs="Arial"/>
        </w:rPr>
        <w:t xml:space="preserve">ao controle de qualidade e </w:t>
      </w:r>
      <w:r w:rsidR="00852824">
        <w:rPr>
          <w:rFonts w:ascii="Arial" w:hAnsi="Arial" w:cs="Arial"/>
        </w:rPr>
        <w:t xml:space="preserve">à </w:t>
      </w:r>
      <w:r w:rsidR="00706143">
        <w:rPr>
          <w:rFonts w:ascii="Arial" w:hAnsi="Arial" w:cs="Arial"/>
        </w:rPr>
        <w:t>redução de preços</w:t>
      </w:r>
      <w:r w:rsidR="006D34E0">
        <w:rPr>
          <w:rFonts w:ascii="Arial" w:hAnsi="Arial" w:cs="Arial"/>
        </w:rPr>
        <w:t>. E</w:t>
      </w:r>
      <w:r w:rsidR="00C50AE1">
        <w:rPr>
          <w:rFonts w:ascii="Arial" w:hAnsi="Arial" w:cs="Arial"/>
        </w:rPr>
        <w:t>sta agência</w:t>
      </w:r>
      <w:r w:rsidR="0009595E">
        <w:rPr>
          <w:rFonts w:ascii="Arial" w:hAnsi="Arial" w:cs="Arial"/>
        </w:rPr>
        <w:t xml:space="preserve"> </w:t>
      </w:r>
      <w:r w:rsidR="00C50AE1">
        <w:rPr>
          <w:rFonts w:ascii="Arial" w:hAnsi="Arial" w:cs="Arial"/>
        </w:rPr>
        <w:t xml:space="preserve">ao definir tal regra </w:t>
      </w:r>
      <w:r w:rsidR="006D34E0">
        <w:rPr>
          <w:rFonts w:ascii="Arial" w:hAnsi="Arial" w:cs="Arial"/>
        </w:rPr>
        <w:t xml:space="preserve">também </w:t>
      </w:r>
      <w:r w:rsidR="00C50AE1">
        <w:rPr>
          <w:rFonts w:ascii="Arial" w:hAnsi="Arial" w:cs="Arial"/>
        </w:rPr>
        <w:t xml:space="preserve">deixou </w:t>
      </w:r>
      <w:r w:rsidR="0009595E">
        <w:rPr>
          <w:rFonts w:ascii="Arial" w:hAnsi="Arial" w:cs="Arial"/>
        </w:rPr>
        <w:t xml:space="preserve">de avaliar </w:t>
      </w:r>
      <w:r w:rsidR="00C50AE1">
        <w:rPr>
          <w:rFonts w:ascii="Arial" w:hAnsi="Arial" w:cs="Arial"/>
        </w:rPr>
        <w:t xml:space="preserve">importantes temas e impactos anticompetitivos apontados pela </w:t>
      </w:r>
      <w:r w:rsidR="0009595E">
        <w:rPr>
          <w:rFonts w:ascii="Arial" w:hAnsi="Arial" w:cs="Arial"/>
        </w:rPr>
        <w:t>i. SEAE e</w:t>
      </w:r>
      <w:r w:rsidR="00C50AE1">
        <w:rPr>
          <w:rFonts w:ascii="Arial" w:hAnsi="Arial" w:cs="Arial"/>
        </w:rPr>
        <w:t>, consequentemente, de implementar medidas</w:t>
      </w:r>
      <w:r w:rsidR="00CA7FE3">
        <w:rPr>
          <w:rFonts w:ascii="Arial" w:hAnsi="Arial" w:cs="Arial"/>
        </w:rPr>
        <w:t xml:space="preserve"> que </w:t>
      </w:r>
      <w:r w:rsidR="0009595E">
        <w:rPr>
          <w:rFonts w:ascii="Arial" w:hAnsi="Arial" w:cs="Arial"/>
        </w:rPr>
        <w:t xml:space="preserve">poderiam </w:t>
      </w:r>
      <w:r w:rsidR="00CA7FE3">
        <w:rPr>
          <w:rFonts w:ascii="Arial" w:hAnsi="Arial" w:cs="Arial"/>
        </w:rPr>
        <w:t xml:space="preserve">mitigar </w:t>
      </w:r>
      <w:r w:rsidR="00C50AE1">
        <w:rPr>
          <w:rFonts w:ascii="Arial" w:hAnsi="Arial" w:cs="Arial"/>
        </w:rPr>
        <w:t>esse</w:t>
      </w:r>
      <w:r w:rsidR="00CA7FE3">
        <w:rPr>
          <w:rFonts w:ascii="Arial" w:hAnsi="Arial" w:cs="Arial"/>
        </w:rPr>
        <w:t xml:space="preserve">s </w:t>
      </w:r>
      <w:r w:rsidR="00C50AE1">
        <w:rPr>
          <w:rFonts w:ascii="Arial" w:hAnsi="Arial" w:cs="Arial"/>
        </w:rPr>
        <w:t>impactos</w:t>
      </w:r>
      <w:r w:rsidR="00706143">
        <w:rPr>
          <w:rFonts w:ascii="Arial" w:hAnsi="Arial" w:cs="Arial"/>
        </w:rPr>
        <w:t>.</w:t>
      </w:r>
      <w:r w:rsidR="00EB0E51">
        <w:rPr>
          <w:rFonts w:ascii="Arial" w:hAnsi="Arial" w:cs="Arial"/>
        </w:rPr>
        <w:t xml:space="preserve"> </w:t>
      </w:r>
    </w:p>
    <w:p w:rsidR="00CA7FE3" w:rsidRDefault="00CA7FE3" w:rsidP="00AC584B">
      <w:pPr>
        <w:jc w:val="both"/>
        <w:rPr>
          <w:rFonts w:ascii="Arial" w:hAnsi="Arial" w:cs="Arial"/>
        </w:rPr>
      </w:pPr>
    </w:p>
    <w:p w:rsidR="00164509" w:rsidRDefault="00EB0E51" w:rsidP="00CA7FE3">
      <w:pPr>
        <w:ind w:firstLine="708"/>
        <w:jc w:val="both"/>
        <w:rPr>
          <w:rFonts w:ascii="Arial" w:hAnsi="Arial" w:cs="Arial"/>
        </w:rPr>
      </w:pPr>
      <w:r>
        <w:rPr>
          <w:rFonts w:ascii="Arial" w:hAnsi="Arial" w:cs="Arial"/>
        </w:rPr>
        <w:t xml:space="preserve">Ademais, </w:t>
      </w:r>
      <w:r w:rsidR="00706143">
        <w:rPr>
          <w:rFonts w:ascii="Arial" w:hAnsi="Arial" w:cs="Arial"/>
        </w:rPr>
        <w:t>os dados públicos divulgados pela própria ANP</w:t>
      </w:r>
      <w:r>
        <w:rPr>
          <w:rFonts w:ascii="Arial" w:hAnsi="Arial" w:cs="Arial"/>
        </w:rPr>
        <w:t xml:space="preserve"> mostram que </w:t>
      </w:r>
      <w:r w:rsidR="003A1CFE">
        <w:rPr>
          <w:rFonts w:ascii="Arial" w:hAnsi="Arial" w:cs="Arial"/>
        </w:rPr>
        <w:t xml:space="preserve">os problemas de adulteração de combustíveis não </w:t>
      </w:r>
      <w:r w:rsidR="00852824">
        <w:rPr>
          <w:rFonts w:ascii="Arial" w:hAnsi="Arial" w:cs="Arial"/>
        </w:rPr>
        <w:t>são</w:t>
      </w:r>
      <w:r w:rsidR="003A1CFE">
        <w:rPr>
          <w:rFonts w:ascii="Arial" w:hAnsi="Arial" w:cs="Arial"/>
        </w:rPr>
        <w:t xml:space="preserve"> nulo</w:t>
      </w:r>
      <w:r w:rsidR="00852824">
        <w:rPr>
          <w:rFonts w:ascii="Arial" w:hAnsi="Arial" w:cs="Arial"/>
        </w:rPr>
        <w:t>s</w:t>
      </w:r>
      <w:r w:rsidR="003A1CFE">
        <w:rPr>
          <w:rFonts w:ascii="Arial" w:hAnsi="Arial" w:cs="Arial"/>
        </w:rPr>
        <w:t xml:space="preserve"> na rede bandeirada, assim como </w:t>
      </w:r>
      <w:r w:rsidR="006D34E0">
        <w:rPr>
          <w:rFonts w:ascii="Arial" w:hAnsi="Arial" w:cs="Arial"/>
        </w:rPr>
        <w:t xml:space="preserve">demonstram que </w:t>
      </w:r>
      <w:r w:rsidR="003A1CFE">
        <w:rPr>
          <w:rFonts w:ascii="Arial" w:hAnsi="Arial" w:cs="Arial"/>
        </w:rPr>
        <w:t>os atuais contratos de exclusividade trazem sérias distorções de custos</w:t>
      </w:r>
      <w:r w:rsidR="00852824">
        <w:rPr>
          <w:rFonts w:ascii="Arial" w:hAnsi="Arial" w:cs="Arial"/>
        </w:rPr>
        <w:t xml:space="preserve"> para os revendedores das principais bandeiras</w:t>
      </w:r>
      <w:r w:rsidR="003A1CFE">
        <w:rPr>
          <w:rFonts w:ascii="Arial" w:hAnsi="Arial" w:cs="Arial"/>
        </w:rPr>
        <w:t>, a partir d</w:t>
      </w:r>
      <w:r w:rsidR="008254AE">
        <w:rPr>
          <w:rFonts w:ascii="Arial" w:hAnsi="Arial" w:cs="Arial"/>
        </w:rPr>
        <w:t>e</w:t>
      </w:r>
      <w:r w:rsidR="003A1CFE">
        <w:rPr>
          <w:rFonts w:ascii="Arial" w:hAnsi="Arial" w:cs="Arial"/>
        </w:rPr>
        <w:t xml:space="preserve"> práticas discriminatórias </w:t>
      </w:r>
      <w:r w:rsidR="00852824">
        <w:rPr>
          <w:rFonts w:ascii="Arial" w:hAnsi="Arial" w:cs="Arial"/>
        </w:rPr>
        <w:t>que acabam acarretando em preços mais elevados</w:t>
      </w:r>
      <w:r w:rsidR="008254AE">
        <w:rPr>
          <w:rFonts w:ascii="Arial" w:hAnsi="Arial" w:cs="Arial"/>
        </w:rPr>
        <w:t>, perda de competitividade</w:t>
      </w:r>
      <w:r w:rsidR="00852824">
        <w:rPr>
          <w:rFonts w:ascii="Arial" w:hAnsi="Arial" w:cs="Arial"/>
        </w:rPr>
        <w:t xml:space="preserve"> ou</w:t>
      </w:r>
      <w:r w:rsidR="008254AE">
        <w:rPr>
          <w:rFonts w:ascii="Arial" w:hAnsi="Arial" w:cs="Arial"/>
        </w:rPr>
        <w:t>,</w:t>
      </w:r>
      <w:r w:rsidR="00852824">
        <w:rPr>
          <w:rFonts w:ascii="Arial" w:hAnsi="Arial" w:cs="Arial"/>
        </w:rPr>
        <w:t xml:space="preserve"> até</w:t>
      </w:r>
      <w:r w:rsidR="008254AE">
        <w:rPr>
          <w:rFonts w:ascii="Arial" w:hAnsi="Arial" w:cs="Arial"/>
        </w:rPr>
        <w:t xml:space="preserve"> mesmo,</w:t>
      </w:r>
      <w:r w:rsidR="00852824">
        <w:rPr>
          <w:rFonts w:ascii="Arial" w:hAnsi="Arial" w:cs="Arial"/>
        </w:rPr>
        <w:t xml:space="preserve"> </w:t>
      </w:r>
      <w:r w:rsidR="008254AE">
        <w:rPr>
          <w:rFonts w:ascii="Arial" w:hAnsi="Arial" w:cs="Arial"/>
        </w:rPr>
        <w:t>criando incentivos para a adoção pelos revendedores de práticas de</w:t>
      </w:r>
      <w:r w:rsidR="00852824">
        <w:rPr>
          <w:rFonts w:ascii="Arial" w:hAnsi="Arial" w:cs="Arial"/>
        </w:rPr>
        <w:t xml:space="preserve"> adulteração de combustíveis</w:t>
      </w:r>
      <w:r w:rsidR="00555D55">
        <w:rPr>
          <w:rFonts w:ascii="Arial" w:hAnsi="Arial" w:cs="Arial"/>
        </w:rPr>
        <w:t xml:space="preserve">, conforme se destacará </w:t>
      </w:r>
      <w:r w:rsidR="008254AE">
        <w:rPr>
          <w:rFonts w:ascii="Arial" w:hAnsi="Arial" w:cs="Arial"/>
        </w:rPr>
        <w:t>em maiores detalhes a</w:t>
      </w:r>
      <w:r w:rsidR="0048133C">
        <w:rPr>
          <w:rFonts w:ascii="Arial" w:hAnsi="Arial" w:cs="Arial"/>
        </w:rPr>
        <w:t>diante</w:t>
      </w:r>
      <w:r w:rsidR="00D8786A">
        <w:rPr>
          <w:rFonts w:ascii="Arial" w:hAnsi="Arial" w:cs="Arial"/>
        </w:rPr>
        <w:t>.</w:t>
      </w:r>
    </w:p>
    <w:p w:rsidR="00555D55" w:rsidRDefault="00555D55" w:rsidP="00AC584B">
      <w:pPr>
        <w:jc w:val="both"/>
        <w:rPr>
          <w:rFonts w:ascii="Arial" w:hAnsi="Arial" w:cs="Arial"/>
        </w:rPr>
      </w:pPr>
    </w:p>
    <w:p w:rsidR="00D95BAE" w:rsidRDefault="00D95BAE" w:rsidP="00AC584B">
      <w:pPr>
        <w:jc w:val="both"/>
        <w:rPr>
          <w:rFonts w:ascii="Arial" w:hAnsi="Arial" w:cs="Arial"/>
        </w:rPr>
      </w:pPr>
    </w:p>
    <w:p w:rsidR="00555D55" w:rsidRDefault="00555D55" w:rsidP="00AC584B">
      <w:pPr>
        <w:jc w:val="both"/>
        <w:rPr>
          <w:rFonts w:ascii="Arial" w:hAnsi="Arial" w:cs="Arial"/>
          <w:b/>
          <w:i/>
        </w:rPr>
      </w:pPr>
      <w:r>
        <w:rPr>
          <w:rFonts w:ascii="Arial" w:hAnsi="Arial" w:cs="Arial"/>
          <w:b/>
          <w:i/>
        </w:rPr>
        <w:t xml:space="preserve">III – </w:t>
      </w:r>
      <w:r w:rsidRPr="00555D55">
        <w:rPr>
          <w:rFonts w:ascii="Arial" w:hAnsi="Arial" w:cs="Arial"/>
          <w:b/>
          <w:i/>
          <w:u w:val="single"/>
        </w:rPr>
        <w:t>A Posição do Conselho Administrativo de Defesa Econômica – CADE</w:t>
      </w:r>
      <w:r w:rsidR="00D639D9">
        <w:rPr>
          <w:rFonts w:ascii="Arial" w:hAnsi="Arial" w:cs="Arial"/>
          <w:b/>
          <w:i/>
          <w:u w:val="single"/>
        </w:rPr>
        <w:t xml:space="preserve"> e da OCDE</w:t>
      </w:r>
      <w:r w:rsidRPr="00555D55">
        <w:rPr>
          <w:rFonts w:ascii="Arial" w:hAnsi="Arial" w:cs="Arial"/>
          <w:b/>
          <w:i/>
          <w:u w:val="single"/>
        </w:rPr>
        <w:t xml:space="preserve"> sobre os efeitos anticompetitivos da Regra do Embandeiramento e, especialmente, dos Contratos de Exclusividade decorrentes desta regra</w:t>
      </w:r>
      <w:r>
        <w:rPr>
          <w:rFonts w:ascii="Arial" w:hAnsi="Arial" w:cs="Arial"/>
          <w:b/>
          <w:i/>
        </w:rPr>
        <w:t>.</w:t>
      </w:r>
    </w:p>
    <w:p w:rsidR="00065F1A" w:rsidRDefault="00065F1A" w:rsidP="00AC584B">
      <w:pPr>
        <w:jc w:val="both"/>
        <w:rPr>
          <w:rFonts w:ascii="Arial" w:hAnsi="Arial" w:cs="Arial"/>
        </w:rPr>
      </w:pPr>
    </w:p>
    <w:p w:rsidR="00544F32" w:rsidRDefault="00065F1A" w:rsidP="00AC584B">
      <w:pPr>
        <w:jc w:val="both"/>
        <w:rPr>
          <w:rFonts w:ascii="Arial" w:hAnsi="Arial" w:cs="Arial"/>
        </w:rPr>
      </w:pPr>
      <w:r>
        <w:rPr>
          <w:rFonts w:ascii="Arial" w:hAnsi="Arial" w:cs="Arial"/>
        </w:rPr>
        <w:tab/>
        <w:t>Embora o Conselho Administrativo de Defesa Econômica não tenha</w:t>
      </w:r>
      <w:r w:rsidR="00E818C7">
        <w:rPr>
          <w:rFonts w:ascii="Arial" w:hAnsi="Arial" w:cs="Arial"/>
        </w:rPr>
        <w:t xml:space="preserve"> expressamente</w:t>
      </w:r>
      <w:r>
        <w:rPr>
          <w:rFonts w:ascii="Arial" w:hAnsi="Arial" w:cs="Arial"/>
        </w:rPr>
        <w:t xml:space="preserve"> </w:t>
      </w:r>
      <w:r w:rsidR="00E818C7">
        <w:rPr>
          <w:rFonts w:ascii="Arial" w:hAnsi="Arial" w:cs="Arial"/>
        </w:rPr>
        <w:t>chamado à atenção para a regra do embandeiramento</w:t>
      </w:r>
      <w:r w:rsidR="00EA4A08">
        <w:rPr>
          <w:rFonts w:ascii="Arial" w:hAnsi="Arial" w:cs="Arial"/>
        </w:rPr>
        <w:t xml:space="preserve"> e/ou os contratos de exclusividade existentes no setor e os problemas competitivos decorrentes destes</w:t>
      </w:r>
      <w:r w:rsidR="00E818C7">
        <w:rPr>
          <w:rFonts w:ascii="Arial" w:hAnsi="Arial" w:cs="Arial"/>
        </w:rPr>
        <w:t xml:space="preserve"> em seu trabalho “Repensando o setor de combustíveis: medidas pró-concorrência”</w:t>
      </w:r>
      <w:r w:rsidR="00E820E4">
        <w:rPr>
          <w:rStyle w:val="Refdenotaderodap"/>
          <w:rFonts w:ascii="Arial" w:hAnsi="Arial" w:cs="Arial"/>
        </w:rPr>
        <w:footnoteReference w:id="36"/>
      </w:r>
      <w:r w:rsidR="00E818C7">
        <w:rPr>
          <w:rFonts w:ascii="Arial" w:hAnsi="Arial" w:cs="Arial"/>
        </w:rPr>
        <w:t>; ou</w:t>
      </w:r>
      <w:r w:rsidR="00E820E4">
        <w:rPr>
          <w:rFonts w:ascii="Arial" w:hAnsi="Arial" w:cs="Arial"/>
        </w:rPr>
        <w:t xml:space="preserve"> </w:t>
      </w:r>
      <w:r w:rsidR="00EA4A08">
        <w:rPr>
          <w:rFonts w:ascii="Arial" w:hAnsi="Arial" w:cs="Arial"/>
        </w:rPr>
        <w:t xml:space="preserve">tampouco </w:t>
      </w:r>
      <w:r w:rsidR="00D95BAE">
        <w:rPr>
          <w:rFonts w:ascii="Arial" w:hAnsi="Arial" w:cs="Arial"/>
        </w:rPr>
        <w:t xml:space="preserve">os </w:t>
      </w:r>
      <w:r w:rsidR="00E820E4">
        <w:rPr>
          <w:rFonts w:ascii="Arial" w:hAnsi="Arial" w:cs="Arial"/>
        </w:rPr>
        <w:t>tenha</w:t>
      </w:r>
      <w:r w:rsidR="00E818C7">
        <w:rPr>
          <w:rFonts w:ascii="Arial" w:hAnsi="Arial" w:cs="Arial"/>
        </w:rPr>
        <w:t xml:space="preserve"> </w:t>
      </w:r>
      <w:r>
        <w:rPr>
          <w:rFonts w:ascii="Arial" w:hAnsi="Arial" w:cs="Arial"/>
        </w:rPr>
        <w:t>a</w:t>
      </w:r>
      <w:r w:rsidR="006D2314">
        <w:rPr>
          <w:rFonts w:ascii="Arial" w:hAnsi="Arial" w:cs="Arial"/>
        </w:rPr>
        <w:t>inda analisado</w:t>
      </w:r>
      <w:r w:rsidR="00E820E4">
        <w:rPr>
          <w:rFonts w:ascii="Arial" w:hAnsi="Arial" w:cs="Arial"/>
        </w:rPr>
        <w:t xml:space="preserve"> no âmbito de um processo administrativo sancionatório ou mesmo de </w:t>
      </w:r>
      <w:r w:rsidR="00E820E4">
        <w:rPr>
          <w:rFonts w:ascii="Arial" w:hAnsi="Arial" w:cs="Arial"/>
          <w:i/>
        </w:rPr>
        <w:t>Advocacy</w:t>
      </w:r>
      <w:r w:rsidR="006D2314">
        <w:rPr>
          <w:rFonts w:ascii="Arial" w:hAnsi="Arial" w:cs="Arial"/>
        </w:rPr>
        <w:t xml:space="preserve">, percebe-se pela análise de atos de concentração envolvendo </w:t>
      </w:r>
      <w:r w:rsidR="00544F32">
        <w:rPr>
          <w:rFonts w:ascii="Arial" w:hAnsi="Arial" w:cs="Arial"/>
        </w:rPr>
        <w:t>o segmento de distribuição</w:t>
      </w:r>
      <w:r w:rsidR="00B27E5C">
        <w:rPr>
          <w:rFonts w:ascii="Arial" w:hAnsi="Arial" w:cs="Arial"/>
        </w:rPr>
        <w:t xml:space="preserve"> </w:t>
      </w:r>
      <w:r w:rsidR="00EA4A08">
        <w:rPr>
          <w:rFonts w:ascii="Arial" w:hAnsi="Arial" w:cs="Arial"/>
        </w:rPr>
        <w:t xml:space="preserve">de combustíveis </w:t>
      </w:r>
      <w:r w:rsidR="00B27E5C">
        <w:rPr>
          <w:rFonts w:ascii="Arial" w:hAnsi="Arial" w:cs="Arial"/>
        </w:rPr>
        <w:t xml:space="preserve">ou de processos administrativos que investigaram </w:t>
      </w:r>
      <w:r w:rsidR="00AB6CAF">
        <w:rPr>
          <w:rFonts w:ascii="Arial" w:hAnsi="Arial" w:cs="Arial"/>
        </w:rPr>
        <w:t xml:space="preserve">e condenaram </w:t>
      </w:r>
      <w:r w:rsidR="00B27E5C">
        <w:rPr>
          <w:rFonts w:ascii="Arial" w:hAnsi="Arial" w:cs="Arial"/>
        </w:rPr>
        <w:t>prática</w:t>
      </w:r>
      <w:r w:rsidR="00AB6CAF">
        <w:rPr>
          <w:rFonts w:ascii="Arial" w:hAnsi="Arial" w:cs="Arial"/>
        </w:rPr>
        <w:t>s</w:t>
      </w:r>
      <w:r w:rsidR="00B27E5C">
        <w:rPr>
          <w:rFonts w:ascii="Arial" w:hAnsi="Arial" w:cs="Arial"/>
        </w:rPr>
        <w:t xml:space="preserve"> de cartel no setor de revenda </w:t>
      </w:r>
      <w:r w:rsidR="00AB6CAF">
        <w:rPr>
          <w:rFonts w:ascii="Arial" w:hAnsi="Arial" w:cs="Arial"/>
        </w:rPr>
        <w:t xml:space="preserve">e distribuição </w:t>
      </w:r>
      <w:r w:rsidR="00B27E5C">
        <w:rPr>
          <w:rFonts w:ascii="Arial" w:hAnsi="Arial" w:cs="Arial"/>
        </w:rPr>
        <w:t>de combustíveis,</w:t>
      </w:r>
      <w:r w:rsidR="00544F32">
        <w:rPr>
          <w:rFonts w:ascii="Arial" w:hAnsi="Arial" w:cs="Arial"/>
        </w:rPr>
        <w:t xml:space="preserve"> que est</w:t>
      </w:r>
      <w:r w:rsidR="00EA4A08">
        <w:rPr>
          <w:rFonts w:ascii="Arial" w:hAnsi="Arial" w:cs="Arial"/>
        </w:rPr>
        <w:t>a regra e contratos</w:t>
      </w:r>
      <w:r w:rsidR="00544F32">
        <w:rPr>
          <w:rFonts w:ascii="Arial" w:hAnsi="Arial" w:cs="Arial"/>
        </w:rPr>
        <w:t xml:space="preserve"> </w:t>
      </w:r>
      <w:r w:rsidR="00EA4A08">
        <w:rPr>
          <w:rFonts w:ascii="Arial" w:hAnsi="Arial" w:cs="Arial"/>
        </w:rPr>
        <w:t>são</w:t>
      </w:r>
      <w:r w:rsidR="00544F32">
        <w:rPr>
          <w:rFonts w:ascii="Arial" w:hAnsi="Arial" w:cs="Arial"/>
        </w:rPr>
        <w:t xml:space="preserve"> recorrentemente </w:t>
      </w:r>
      <w:r w:rsidR="00EA4A08">
        <w:rPr>
          <w:rFonts w:ascii="Arial" w:hAnsi="Arial" w:cs="Arial"/>
        </w:rPr>
        <w:t xml:space="preserve">objeto de </w:t>
      </w:r>
      <w:r w:rsidR="00544F32">
        <w:rPr>
          <w:rFonts w:ascii="Arial" w:hAnsi="Arial" w:cs="Arial"/>
        </w:rPr>
        <w:t>an</w:t>
      </w:r>
      <w:r w:rsidR="00EA4A08">
        <w:rPr>
          <w:rFonts w:ascii="Arial" w:hAnsi="Arial" w:cs="Arial"/>
        </w:rPr>
        <w:t>á</w:t>
      </w:r>
      <w:r w:rsidR="00544F32">
        <w:rPr>
          <w:rFonts w:ascii="Arial" w:hAnsi="Arial" w:cs="Arial"/>
        </w:rPr>
        <w:t>lis</w:t>
      </w:r>
      <w:r w:rsidR="00EA4A08">
        <w:rPr>
          <w:rFonts w:ascii="Arial" w:hAnsi="Arial" w:cs="Arial"/>
        </w:rPr>
        <w:t>e</w:t>
      </w:r>
      <w:r w:rsidR="00544F32">
        <w:rPr>
          <w:rFonts w:ascii="Arial" w:hAnsi="Arial" w:cs="Arial"/>
        </w:rPr>
        <w:t xml:space="preserve"> </w:t>
      </w:r>
      <w:r w:rsidR="00E820E4">
        <w:rPr>
          <w:rFonts w:ascii="Arial" w:hAnsi="Arial" w:cs="Arial"/>
        </w:rPr>
        <w:t xml:space="preserve">e </w:t>
      </w:r>
      <w:r w:rsidR="00EA4A08">
        <w:rPr>
          <w:rFonts w:ascii="Arial" w:hAnsi="Arial" w:cs="Arial"/>
        </w:rPr>
        <w:t xml:space="preserve">ponderações </w:t>
      </w:r>
      <w:r w:rsidR="00B27E5C">
        <w:rPr>
          <w:rFonts w:ascii="Arial" w:hAnsi="Arial" w:cs="Arial"/>
        </w:rPr>
        <w:t>pelo órgão</w:t>
      </w:r>
      <w:r w:rsidR="00CB0ACE">
        <w:rPr>
          <w:rFonts w:ascii="Arial" w:hAnsi="Arial" w:cs="Arial"/>
        </w:rPr>
        <w:t>;</w:t>
      </w:r>
      <w:r w:rsidR="00E820E4">
        <w:rPr>
          <w:rFonts w:ascii="Arial" w:hAnsi="Arial" w:cs="Arial"/>
        </w:rPr>
        <w:t xml:space="preserve"> sendo</w:t>
      </w:r>
      <w:r w:rsidR="00AB6CAF">
        <w:rPr>
          <w:rFonts w:ascii="Arial" w:hAnsi="Arial" w:cs="Arial"/>
        </w:rPr>
        <w:t>,</w:t>
      </w:r>
      <w:r w:rsidR="00E820E4">
        <w:rPr>
          <w:rFonts w:ascii="Arial" w:hAnsi="Arial" w:cs="Arial"/>
        </w:rPr>
        <w:t xml:space="preserve"> inclusive, utilizado</w:t>
      </w:r>
      <w:r w:rsidR="00EA4A08">
        <w:rPr>
          <w:rFonts w:ascii="Arial" w:hAnsi="Arial" w:cs="Arial"/>
        </w:rPr>
        <w:t>s</w:t>
      </w:r>
      <w:r w:rsidR="00E820E4">
        <w:rPr>
          <w:rFonts w:ascii="Arial" w:hAnsi="Arial" w:cs="Arial"/>
        </w:rPr>
        <w:t xml:space="preserve"> </w:t>
      </w:r>
      <w:r w:rsidR="00544F32">
        <w:rPr>
          <w:rFonts w:ascii="Arial" w:hAnsi="Arial" w:cs="Arial"/>
        </w:rPr>
        <w:t>nas decisões de aprovação</w:t>
      </w:r>
      <w:r w:rsidR="00E820E4">
        <w:rPr>
          <w:rFonts w:ascii="Arial" w:hAnsi="Arial" w:cs="Arial"/>
        </w:rPr>
        <w:t>, com ou sem restrições,</w:t>
      </w:r>
      <w:r w:rsidR="00544F32">
        <w:rPr>
          <w:rFonts w:ascii="Arial" w:hAnsi="Arial" w:cs="Arial"/>
        </w:rPr>
        <w:t xml:space="preserve"> de</w:t>
      </w:r>
      <w:r w:rsidR="00B27E5C">
        <w:rPr>
          <w:rFonts w:ascii="Arial" w:hAnsi="Arial" w:cs="Arial"/>
        </w:rPr>
        <w:t>ssas</w:t>
      </w:r>
      <w:r w:rsidR="00544F32">
        <w:rPr>
          <w:rFonts w:ascii="Arial" w:hAnsi="Arial" w:cs="Arial"/>
        </w:rPr>
        <w:t xml:space="preserve"> operações de aquisição e fusão de distribuidoras</w:t>
      </w:r>
      <w:r w:rsidR="00CB0ACE">
        <w:rPr>
          <w:rFonts w:ascii="Arial" w:hAnsi="Arial" w:cs="Arial"/>
        </w:rPr>
        <w:t>,</w:t>
      </w:r>
      <w:r w:rsidR="00B27E5C">
        <w:rPr>
          <w:rFonts w:ascii="Arial" w:hAnsi="Arial" w:cs="Arial"/>
        </w:rPr>
        <w:t xml:space="preserve"> ou ainda para a condenação de revendedoras</w:t>
      </w:r>
      <w:r w:rsidR="00AB6CAF">
        <w:rPr>
          <w:rFonts w:ascii="Arial" w:hAnsi="Arial" w:cs="Arial"/>
        </w:rPr>
        <w:t xml:space="preserve"> e distribuidoras pela prática de cartel</w:t>
      </w:r>
      <w:r w:rsidR="00544F32">
        <w:rPr>
          <w:rFonts w:ascii="Arial" w:hAnsi="Arial" w:cs="Arial"/>
        </w:rPr>
        <w:t xml:space="preserve">. </w:t>
      </w:r>
    </w:p>
    <w:p w:rsidR="00307077" w:rsidRDefault="00307077" w:rsidP="00AC584B">
      <w:pPr>
        <w:jc w:val="both"/>
        <w:rPr>
          <w:rFonts w:ascii="Arial" w:hAnsi="Arial" w:cs="Arial"/>
        </w:rPr>
      </w:pPr>
    </w:p>
    <w:p w:rsidR="00307077" w:rsidRDefault="00544F32" w:rsidP="00AC584B">
      <w:pPr>
        <w:jc w:val="both"/>
        <w:rPr>
          <w:rFonts w:ascii="Arial" w:hAnsi="Arial" w:cs="Arial"/>
        </w:rPr>
      </w:pPr>
      <w:r>
        <w:rPr>
          <w:rFonts w:ascii="Arial" w:hAnsi="Arial" w:cs="Arial"/>
        </w:rPr>
        <w:tab/>
        <w:t xml:space="preserve">Nesta </w:t>
      </w:r>
      <w:r w:rsidR="00EA4A08">
        <w:rPr>
          <w:rFonts w:ascii="Arial" w:hAnsi="Arial" w:cs="Arial"/>
        </w:rPr>
        <w:t xml:space="preserve">próxima </w:t>
      </w:r>
      <w:r>
        <w:rPr>
          <w:rFonts w:ascii="Arial" w:hAnsi="Arial" w:cs="Arial"/>
        </w:rPr>
        <w:t xml:space="preserve">seção </w:t>
      </w:r>
      <w:r w:rsidR="00147FE0">
        <w:rPr>
          <w:rFonts w:ascii="Arial" w:hAnsi="Arial" w:cs="Arial"/>
        </w:rPr>
        <w:t>destaca</w:t>
      </w:r>
      <w:r w:rsidR="00EA4A08">
        <w:rPr>
          <w:rFonts w:ascii="Arial" w:hAnsi="Arial" w:cs="Arial"/>
        </w:rPr>
        <w:t>re</w:t>
      </w:r>
      <w:r w:rsidR="00147FE0">
        <w:rPr>
          <w:rFonts w:ascii="Arial" w:hAnsi="Arial" w:cs="Arial"/>
        </w:rPr>
        <w:t>mos os comentários</w:t>
      </w:r>
      <w:r w:rsidR="00C407DA">
        <w:rPr>
          <w:rFonts w:ascii="Arial" w:hAnsi="Arial" w:cs="Arial"/>
        </w:rPr>
        <w:t xml:space="preserve"> e análises realizadas pelo CADE em relação aos efeitos pró e anticompetitivos decorrentes dos contratos de exclusividade estabelecidos a partir da regra de embandeiramento, os quais entendemos serem fundamenta</w:t>
      </w:r>
      <w:r w:rsidR="00176F24">
        <w:rPr>
          <w:rFonts w:ascii="Arial" w:hAnsi="Arial" w:cs="Arial"/>
        </w:rPr>
        <w:t>is</w:t>
      </w:r>
      <w:r w:rsidR="00C407DA">
        <w:rPr>
          <w:rFonts w:ascii="Arial" w:hAnsi="Arial" w:cs="Arial"/>
        </w:rPr>
        <w:t xml:space="preserve"> </w:t>
      </w:r>
      <w:r w:rsidR="00176F24">
        <w:rPr>
          <w:rFonts w:ascii="Arial" w:hAnsi="Arial" w:cs="Arial"/>
        </w:rPr>
        <w:t xml:space="preserve">e de extrema </w:t>
      </w:r>
      <w:r w:rsidR="00C407DA">
        <w:rPr>
          <w:rFonts w:ascii="Arial" w:hAnsi="Arial" w:cs="Arial"/>
        </w:rPr>
        <w:t xml:space="preserve">relevância para </w:t>
      </w:r>
      <w:r w:rsidR="00307077">
        <w:rPr>
          <w:rFonts w:ascii="Arial" w:hAnsi="Arial" w:cs="Arial"/>
        </w:rPr>
        <w:t>a redefinição e melhoramento do arcabouço regulatório do setor.</w:t>
      </w:r>
    </w:p>
    <w:p w:rsidR="00307077" w:rsidRDefault="00307077" w:rsidP="00AC584B">
      <w:pPr>
        <w:jc w:val="both"/>
        <w:rPr>
          <w:rFonts w:ascii="Arial" w:hAnsi="Arial" w:cs="Arial"/>
        </w:rPr>
      </w:pPr>
    </w:p>
    <w:p w:rsidR="00EA4A08" w:rsidRPr="00307077" w:rsidRDefault="00EA4A08" w:rsidP="00EA4A08">
      <w:pPr>
        <w:ind w:left="1416"/>
        <w:jc w:val="both"/>
        <w:rPr>
          <w:rFonts w:ascii="Arial" w:hAnsi="Arial" w:cs="Arial"/>
          <w:b/>
          <w:i/>
        </w:rPr>
      </w:pPr>
      <w:r w:rsidRPr="00307077">
        <w:rPr>
          <w:rFonts w:ascii="Arial" w:hAnsi="Arial" w:cs="Arial"/>
          <w:b/>
          <w:i/>
        </w:rPr>
        <w:t xml:space="preserve">III.1. </w:t>
      </w:r>
      <w:r w:rsidRPr="00307077">
        <w:rPr>
          <w:rFonts w:ascii="Arial" w:hAnsi="Arial" w:cs="Arial"/>
          <w:b/>
          <w:i/>
          <w:u w:val="single"/>
        </w:rPr>
        <w:t>O Entendimento do CADE sobre os Efeitos Pró e Anticompetitivos dos Contratos de Exclusividade</w:t>
      </w:r>
      <w:r w:rsidRPr="00307077">
        <w:rPr>
          <w:rFonts w:ascii="Arial" w:hAnsi="Arial" w:cs="Arial"/>
          <w:b/>
          <w:i/>
        </w:rPr>
        <w:t>.</w:t>
      </w:r>
    </w:p>
    <w:p w:rsidR="00EA4A08" w:rsidRDefault="00EA4A08" w:rsidP="00AC584B">
      <w:pPr>
        <w:jc w:val="both"/>
        <w:rPr>
          <w:rFonts w:ascii="Arial" w:hAnsi="Arial" w:cs="Arial"/>
        </w:rPr>
      </w:pPr>
    </w:p>
    <w:p w:rsidR="00307077" w:rsidRDefault="00307077" w:rsidP="00AC584B">
      <w:pPr>
        <w:jc w:val="both"/>
        <w:rPr>
          <w:rFonts w:ascii="Arial" w:hAnsi="Arial" w:cs="Arial"/>
        </w:rPr>
      </w:pPr>
      <w:r>
        <w:rPr>
          <w:rFonts w:ascii="Arial" w:hAnsi="Arial" w:cs="Arial"/>
        </w:rPr>
        <w:tab/>
      </w:r>
      <w:r w:rsidR="00176F24">
        <w:rPr>
          <w:rFonts w:ascii="Arial" w:hAnsi="Arial" w:cs="Arial"/>
        </w:rPr>
        <w:t xml:space="preserve">Cita-se, primeiramente, o entendimento esposado pelo Conselheiro-Relator, </w:t>
      </w:r>
      <w:r w:rsidR="00176F24" w:rsidRPr="00176F24">
        <w:rPr>
          <w:rFonts w:ascii="Arial" w:hAnsi="Arial" w:cs="Arial"/>
        </w:rPr>
        <w:t>Carlos Emannuel Joppert Ragazzo</w:t>
      </w:r>
      <w:r w:rsidR="00176F24">
        <w:rPr>
          <w:rFonts w:ascii="Arial" w:hAnsi="Arial" w:cs="Arial"/>
        </w:rPr>
        <w:t xml:space="preserve">, </w:t>
      </w:r>
      <w:r w:rsidR="00803FC3">
        <w:rPr>
          <w:rFonts w:ascii="Arial" w:hAnsi="Arial" w:cs="Arial"/>
        </w:rPr>
        <w:t xml:space="preserve">em seu voto proferido </w:t>
      </w:r>
      <w:r w:rsidR="00176F24">
        <w:rPr>
          <w:rFonts w:ascii="Arial" w:hAnsi="Arial" w:cs="Arial"/>
        </w:rPr>
        <w:t>no Processo Administrativo nº 08012.</w:t>
      </w:r>
      <w:r w:rsidR="009C2A85">
        <w:rPr>
          <w:rFonts w:ascii="Arial" w:hAnsi="Arial" w:cs="Arial"/>
        </w:rPr>
        <w:t>005545/199</w:t>
      </w:r>
      <w:r w:rsidR="00D27D81">
        <w:rPr>
          <w:rFonts w:ascii="Arial" w:hAnsi="Arial" w:cs="Arial"/>
        </w:rPr>
        <w:t>9</w:t>
      </w:r>
      <w:r w:rsidR="009C2A85">
        <w:rPr>
          <w:rFonts w:ascii="Arial" w:hAnsi="Arial" w:cs="Arial"/>
        </w:rPr>
        <w:t>-16</w:t>
      </w:r>
      <w:r w:rsidR="009C2A85">
        <w:rPr>
          <w:rStyle w:val="Refdenotaderodap"/>
          <w:rFonts w:ascii="Arial" w:hAnsi="Arial" w:cs="Arial"/>
        </w:rPr>
        <w:footnoteReference w:id="37"/>
      </w:r>
      <w:r w:rsidR="009C2A85">
        <w:rPr>
          <w:rFonts w:ascii="Arial" w:hAnsi="Arial" w:cs="Arial"/>
        </w:rPr>
        <w:t>, que investigou a formação de cartel por revendedores de combustíveis.</w:t>
      </w:r>
    </w:p>
    <w:p w:rsidR="00586C59" w:rsidRDefault="00586C59" w:rsidP="00AC584B">
      <w:pPr>
        <w:jc w:val="both"/>
        <w:rPr>
          <w:rFonts w:ascii="Arial" w:hAnsi="Arial" w:cs="Arial"/>
        </w:rPr>
      </w:pPr>
    </w:p>
    <w:p w:rsidR="00586C59" w:rsidRDefault="00586C59" w:rsidP="00AC584B">
      <w:pPr>
        <w:jc w:val="both"/>
        <w:rPr>
          <w:rFonts w:ascii="Arial" w:hAnsi="Arial" w:cs="Arial"/>
        </w:rPr>
      </w:pPr>
      <w:r>
        <w:rPr>
          <w:rFonts w:ascii="Arial" w:hAnsi="Arial" w:cs="Arial"/>
        </w:rPr>
        <w:tab/>
      </w:r>
      <w:r w:rsidR="00803FC3">
        <w:rPr>
          <w:rFonts w:ascii="Arial" w:hAnsi="Arial" w:cs="Arial"/>
        </w:rPr>
        <w:t>Nesse</w:t>
      </w:r>
      <w:r>
        <w:rPr>
          <w:rFonts w:ascii="Arial" w:hAnsi="Arial" w:cs="Arial"/>
        </w:rPr>
        <w:t xml:space="preserve"> voto, o Conselheiro Ragazzo faz uma </w:t>
      </w:r>
      <w:r w:rsidR="00BF1E42">
        <w:rPr>
          <w:rFonts w:ascii="Arial" w:hAnsi="Arial" w:cs="Arial"/>
        </w:rPr>
        <w:t>longa digressão e análise sobre as razões que levariam o número excessivo de denúncias ao Sistema Brasileiro de Defesa da Concorrência envolvendo a prática de cartel no setor de revenda de combustíveis</w:t>
      </w:r>
      <w:r w:rsidR="003C53B8">
        <w:rPr>
          <w:rFonts w:ascii="Arial" w:hAnsi="Arial" w:cs="Arial"/>
        </w:rPr>
        <w:t>, destacando para a necessidade de serem realizadas “iniciativas de Advocacia no Setor de Combustíveis” (“</w:t>
      </w:r>
      <w:r w:rsidR="003C53B8">
        <w:rPr>
          <w:rFonts w:ascii="Arial" w:hAnsi="Arial" w:cs="Arial"/>
          <w:i/>
        </w:rPr>
        <w:t>Advocacy</w:t>
      </w:r>
      <w:r w:rsidR="003C53B8">
        <w:rPr>
          <w:rFonts w:ascii="Arial" w:hAnsi="Arial" w:cs="Arial"/>
        </w:rPr>
        <w:t>”)</w:t>
      </w:r>
      <w:r w:rsidR="00803FC3">
        <w:rPr>
          <w:rFonts w:ascii="Arial" w:hAnsi="Arial" w:cs="Arial"/>
        </w:rPr>
        <w:t xml:space="preserve"> com o intuito de tentar solucionar este tema</w:t>
      </w:r>
      <w:r w:rsidR="003C53B8">
        <w:rPr>
          <w:rFonts w:ascii="Arial" w:hAnsi="Arial" w:cs="Arial"/>
        </w:rPr>
        <w:t>.</w:t>
      </w:r>
      <w:r w:rsidR="00BF1E42">
        <w:rPr>
          <w:rFonts w:ascii="Arial" w:hAnsi="Arial" w:cs="Arial"/>
        </w:rPr>
        <w:t xml:space="preserve"> </w:t>
      </w:r>
    </w:p>
    <w:p w:rsidR="00763953" w:rsidRDefault="00763953" w:rsidP="00AC584B">
      <w:pPr>
        <w:jc w:val="both"/>
        <w:rPr>
          <w:rFonts w:ascii="Arial" w:hAnsi="Arial" w:cs="Arial"/>
        </w:rPr>
      </w:pPr>
    </w:p>
    <w:p w:rsidR="00E75AEA" w:rsidRDefault="00763953" w:rsidP="00AC584B">
      <w:pPr>
        <w:jc w:val="both"/>
        <w:rPr>
          <w:rFonts w:ascii="Arial" w:hAnsi="Arial" w:cs="Arial"/>
        </w:rPr>
      </w:pPr>
      <w:r>
        <w:rPr>
          <w:rFonts w:ascii="Arial" w:hAnsi="Arial" w:cs="Arial"/>
        </w:rPr>
        <w:tab/>
      </w:r>
      <w:r w:rsidR="003C53B8">
        <w:rPr>
          <w:rFonts w:ascii="Arial" w:hAnsi="Arial" w:cs="Arial"/>
        </w:rPr>
        <w:t xml:space="preserve">Dentre essas iniciativas de </w:t>
      </w:r>
      <w:r w:rsidR="003C53B8" w:rsidRPr="003C53B8">
        <w:rPr>
          <w:rFonts w:ascii="Arial" w:hAnsi="Arial" w:cs="Arial"/>
        </w:rPr>
        <w:t>Advocacy</w:t>
      </w:r>
      <w:r w:rsidR="003C53B8">
        <w:rPr>
          <w:rFonts w:ascii="Arial" w:hAnsi="Arial" w:cs="Arial"/>
        </w:rPr>
        <w:t xml:space="preserve">, o Conselheiro </w:t>
      </w:r>
      <w:r w:rsidR="00A82574">
        <w:rPr>
          <w:rFonts w:ascii="Arial" w:hAnsi="Arial" w:cs="Arial"/>
        </w:rPr>
        <w:t>destaca aquela associada à “(Des) Verticalização no Setor de Combustíveis”. Em sua análise</w:t>
      </w:r>
      <w:r w:rsidR="000F0C29">
        <w:rPr>
          <w:rFonts w:ascii="Arial" w:hAnsi="Arial" w:cs="Arial"/>
        </w:rPr>
        <w:t xml:space="preserve"> </w:t>
      </w:r>
      <w:r w:rsidR="00A82574">
        <w:rPr>
          <w:rFonts w:ascii="Arial" w:hAnsi="Arial" w:cs="Arial"/>
        </w:rPr>
        <w:t>aponta</w:t>
      </w:r>
      <w:r w:rsidR="000F0C29">
        <w:rPr>
          <w:rFonts w:ascii="Arial" w:hAnsi="Arial" w:cs="Arial"/>
        </w:rPr>
        <w:t xml:space="preserve">, inicialmente, que a </w:t>
      </w:r>
      <w:r w:rsidR="000F0C29" w:rsidRPr="00803FC3">
        <w:rPr>
          <w:rFonts w:ascii="Arial" w:hAnsi="Arial" w:cs="Arial"/>
          <w:b/>
        </w:rPr>
        <w:t>proibição ao exercício da atividade de revenda por parte do distribuidor</w:t>
      </w:r>
      <w:r w:rsidR="000F0C29">
        <w:rPr>
          <w:rFonts w:ascii="Arial" w:hAnsi="Arial" w:cs="Arial"/>
        </w:rPr>
        <w:t xml:space="preserve">, não lhe </w:t>
      </w:r>
      <w:r w:rsidR="000F0C29" w:rsidRPr="00803FC3">
        <w:rPr>
          <w:rFonts w:ascii="Arial" w:hAnsi="Arial" w:cs="Arial"/>
          <w:b/>
        </w:rPr>
        <w:t>parece impedir necessariamente “o processo de verticalizaç</w:t>
      </w:r>
      <w:r w:rsidR="00E75AEA" w:rsidRPr="00803FC3">
        <w:rPr>
          <w:rFonts w:ascii="Arial" w:hAnsi="Arial" w:cs="Arial"/>
          <w:b/>
        </w:rPr>
        <w:t>ão que se verifica na indústria</w:t>
      </w:r>
      <w:r w:rsidR="00E75AEA">
        <w:rPr>
          <w:rFonts w:ascii="Arial" w:hAnsi="Arial" w:cs="Arial"/>
        </w:rPr>
        <w:t xml:space="preserve">, servindo apenas para </w:t>
      </w:r>
      <w:r w:rsidR="00E75AEA" w:rsidRPr="00803FC3">
        <w:rPr>
          <w:rFonts w:ascii="Arial" w:hAnsi="Arial" w:cs="Arial"/>
          <w:b/>
        </w:rPr>
        <w:t xml:space="preserve">proibir um tipo específico de integração vertical, a societária, e </w:t>
      </w:r>
      <w:r w:rsidR="00E75AEA" w:rsidRPr="00803FC3">
        <w:rPr>
          <w:rFonts w:ascii="Arial" w:hAnsi="Arial" w:cs="Arial"/>
          <w:b/>
          <w:u w:val="single"/>
        </w:rPr>
        <w:t>não</w:t>
      </w:r>
      <w:r w:rsidR="00E75AEA" w:rsidRPr="00803FC3">
        <w:rPr>
          <w:rFonts w:ascii="Arial" w:hAnsi="Arial" w:cs="Arial"/>
          <w:b/>
        </w:rPr>
        <w:t xml:space="preserve"> a contratual</w:t>
      </w:r>
      <w:r w:rsidR="00E75AEA">
        <w:rPr>
          <w:rFonts w:ascii="Arial" w:hAnsi="Arial" w:cs="Arial"/>
        </w:rPr>
        <w:t xml:space="preserve">”. </w:t>
      </w:r>
      <w:r w:rsidR="00803FC3">
        <w:rPr>
          <w:rFonts w:ascii="Arial" w:hAnsi="Arial" w:cs="Arial"/>
        </w:rPr>
        <w:t>(Destacamos)</w:t>
      </w:r>
    </w:p>
    <w:p w:rsidR="00E64B0F" w:rsidRDefault="00E64B0F" w:rsidP="00E75AEA">
      <w:pPr>
        <w:ind w:firstLine="708"/>
        <w:jc w:val="both"/>
        <w:rPr>
          <w:rFonts w:ascii="Arial" w:hAnsi="Arial" w:cs="Arial"/>
        </w:rPr>
      </w:pPr>
    </w:p>
    <w:p w:rsidR="00E64B0F" w:rsidRDefault="00E64B0F" w:rsidP="00E75AEA">
      <w:pPr>
        <w:ind w:firstLine="708"/>
        <w:jc w:val="both"/>
        <w:rPr>
          <w:rFonts w:ascii="Arial" w:hAnsi="Arial" w:cs="Arial"/>
        </w:rPr>
      </w:pPr>
      <w:r>
        <w:rPr>
          <w:rFonts w:ascii="Arial" w:hAnsi="Arial" w:cs="Arial"/>
        </w:rPr>
        <w:t xml:space="preserve">O Conselheiro-Relator ressalta </w:t>
      </w:r>
      <w:r w:rsidR="00803FC3">
        <w:rPr>
          <w:rFonts w:ascii="Arial" w:hAnsi="Arial" w:cs="Arial"/>
        </w:rPr>
        <w:t xml:space="preserve">ainda </w:t>
      </w:r>
      <w:r>
        <w:rPr>
          <w:rFonts w:ascii="Arial" w:hAnsi="Arial" w:cs="Arial"/>
        </w:rPr>
        <w:t>que, embora a Portaria ANP nº 116/</w:t>
      </w:r>
      <w:r w:rsidR="00EF6463">
        <w:rPr>
          <w:rFonts w:ascii="Arial" w:hAnsi="Arial" w:cs="Arial"/>
        </w:rPr>
        <w:t xml:space="preserve">2000 não tenha explicitado a razão para a proibição de </w:t>
      </w:r>
      <w:r w:rsidR="00F34A19">
        <w:rPr>
          <w:rFonts w:ascii="Arial" w:hAnsi="Arial" w:cs="Arial"/>
        </w:rPr>
        <w:t>uma distribui</w:t>
      </w:r>
      <w:r w:rsidR="009844A4">
        <w:rPr>
          <w:rFonts w:ascii="Arial" w:hAnsi="Arial" w:cs="Arial"/>
        </w:rPr>
        <w:t xml:space="preserve">dora ser societariamente detentora de um posto revendedora, “imagina que o </w:t>
      </w:r>
      <w:r w:rsidR="00B46E2A" w:rsidRPr="00803FC3">
        <w:rPr>
          <w:rFonts w:ascii="Arial" w:hAnsi="Arial" w:cs="Arial"/>
          <w:b/>
        </w:rPr>
        <w:t>objetivo regulatório</w:t>
      </w:r>
      <w:r w:rsidR="00B46E2A">
        <w:rPr>
          <w:rFonts w:ascii="Arial" w:hAnsi="Arial" w:cs="Arial"/>
        </w:rPr>
        <w:t xml:space="preserve"> poderia estar relacionado, </w:t>
      </w:r>
      <w:r w:rsidR="00B46E2A">
        <w:rPr>
          <w:rFonts w:ascii="Arial" w:hAnsi="Arial" w:cs="Arial"/>
          <w:i/>
        </w:rPr>
        <w:t>inter alia</w:t>
      </w:r>
      <w:r w:rsidR="00B46E2A">
        <w:rPr>
          <w:rFonts w:ascii="Arial" w:hAnsi="Arial" w:cs="Arial"/>
        </w:rPr>
        <w:t xml:space="preserve">, com a proposta no sentido de </w:t>
      </w:r>
      <w:r w:rsidR="00B46E2A" w:rsidRPr="00A828BA">
        <w:rPr>
          <w:rFonts w:ascii="Arial" w:hAnsi="Arial" w:cs="Arial"/>
          <w:b/>
        </w:rPr>
        <w:t>evitar</w:t>
      </w:r>
      <w:r w:rsidR="00B46E2A">
        <w:rPr>
          <w:rFonts w:ascii="Arial" w:hAnsi="Arial" w:cs="Arial"/>
        </w:rPr>
        <w:t xml:space="preserve"> (ou reduzir, quando possível) o </w:t>
      </w:r>
      <w:r w:rsidR="00B46E2A" w:rsidRPr="00A828BA">
        <w:rPr>
          <w:rFonts w:ascii="Arial" w:hAnsi="Arial" w:cs="Arial"/>
          <w:b/>
          <w:u w:val="single"/>
        </w:rPr>
        <w:t>risco de fechamento de mercado</w:t>
      </w:r>
      <w:r w:rsidR="00B46E2A">
        <w:rPr>
          <w:rFonts w:ascii="Arial" w:hAnsi="Arial" w:cs="Arial"/>
        </w:rPr>
        <w:t xml:space="preserve"> (por meio, por exemplo, do possível aumento de custos dos rivais), de </w:t>
      </w:r>
      <w:r w:rsidR="00B46E2A" w:rsidRPr="00A828BA">
        <w:rPr>
          <w:rFonts w:ascii="Arial" w:hAnsi="Arial" w:cs="Arial"/>
          <w:b/>
          <w:u w:val="single"/>
        </w:rPr>
        <w:t>facilitação da prática de condutas coordenadas</w:t>
      </w:r>
      <w:r w:rsidR="00B46E2A">
        <w:rPr>
          <w:rFonts w:ascii="Arial" w:hAnsi="Arial" w:cs="Arial"/>
        </w:rPr>
        <w:t xml:space="preserve"> (já que seria mais difícil</w:t>
      </w:r>
      <w:r w:rsidR="00077448">
        <w:rPr>
          <w:rFonts w:ascii="Arial" w:hAnsi="Arial" w:cs="Arial"/>
        </w:rPr>
        <w:t xml:space="preserve"> para a indústria identificar os agentes que estariam desviando de um acordo oclusivo) e de </w:t>
      </w:r>
      <w:r w:rsidR="00077448" w:rsidRPr="00A828BA">
        <w:rPr>
          <w:rFonts w:ascii="Arial" w:hAnsi="Arial" w:cs="Arial"/>
          <w:b/>
          <w:u w:val="single"/>
        </w:rPr>
        <w:t>criação de di</w:t>
      </w:r>
      <w:r w:rsidR="00944236" w:rsidRPr="00A828BA">
        <w:rPr>
          <w:rFonts w:ascii="Arial" w:hAnsi="Arial" w:cs="Arial"/>
          <w:b/>
          <w:u w:val="single"/>
        </w:rPr>
        <w:t>ficuldades para a entrada no mercado</w:t>
      </w:r>
      <w:r w:rsidR="00944236">
        <w:rPr>
          <w:rFonts w:ascii="Arial" w:hAnsi="Arial" w:cs="Arial"/>
        </w:rPr>
        <w:t xml:space="preserve"> (a ponto, por exemplo, de tornar a entrada suficiente apenas quando for simultânea na revenda e na distribuição)</w:t>
      </w:r>
      <w:r w:rsidR="009410C8">
        <w:rPr>
          <w:rStyle w:val="Refdenotaderodap"/>
          <w:rFonts w:ascii="Arial" w:hAnsi="Arial" w:cs="Arial"/>
        </w:rPr>
        <w:footnoteReference w:id="38"/>
      </w:r>
      <w:r w:rsidR="009410C8">
        <w:rPr>
          <w:rFonts w:ascii="Arial" w:hAnsi="Arial" w:cs="Arial"/>
        </w:rPr>
        <w:t>”</w:t>
      </w:r>
      <w:r w:rsidR="00944236">
        <w:rPr>
          <w:rFonts w:ascii="Arial" w:hAnsi="Arial" w:cs="Arial"/>
        </w:rPr>
        <w:t>.</w:t>
      </w:r>
      <w:r w:rsidR="00803FC3">
        <w:rPr>
          <w:rFonts w:ascii="Arial" w:hAnsi="Arial" w:cs="Arial"/>
        </w:rPr>
        <w:t xml:space="preserve"> (Destacamos)</w:t>
      </w:r>
    </w:p>
    <w:p w:rsidR="00890B64" w:rsidRDefault="00890B64" w:rsidP="00E75AEA">
      <w:pPr>
        <w:ind w:firstLine="708"/>
        <w:jc w:val="both"/>
        <w:rPr>
          <w:rFonts w:ascii="Arial" w:hAnsi="Arial" w:cs="Arial"/>
        </w:rPr>
      </w:pPr>
    </w:p>
    <w:p w:rsidR="000313C6" w:rsidRDefault="00890B64" w:rsidP="00E75AEA">
      <w:pPr>
        <w:ind w:firstLine="708"/>
        <w:jc w:val="both"/>
        <w:rPr>
          <w:rFonts w:ascii="Arial" w:hAnsi="Arial" w:cs="Arial"/>
        </w:rPr>
      </w:pPr>
      <w:r>
        <w:rPr>
          <w:rFonts w:ascii="Arial" w:hAnsi="Arial" w:cs="Arial"/>
        </w:rPr>
        <w:t>D</w:t>
      </w:r>
      <w:r w:rsidR="00E75AEA">
        <w:rPr>
          <w:rFonts w:ascii="Arial" w:hAnsi="Arial" w:cs="Arial"/>
        </w:rPr>
        <w:t>estaca</w:t>
      </w:r>
      <w:r>
        <w:rPr>
          <w:rFonts w:ascii="Arial" w:hAnsi="Arial" w:cs="Arial"/>
        </w:rPr>
        <w:t xml:space="preserve"> nesse sentido que </w:t>
      </w:r>
      <w:r w:rsidRPr="008860A4">
        <w:rPr>
          <w:rFonts w:ascii="Arial" w:hAnsi="Arial" w:cs="Arial"/>
          <w:b/>
        </w:rPr>
        <w:t xml:space="preserve">os </w:t>
      </w:r>
      <w:r w:rsidR="0044212C" w:rsidRPr="00A828BA">
        <w:rPr>
          <w:rFonts w:ascii="Arial" w:hAnsi="Arial" w:cs="Arial"/>
          <w:b/>
          <w:u w:val="single"/>
        </w:rPr>
        <w:t>contratos</w:t>
      </w:r>
      <w:r w:rsidR="0044212C" w:rsidRPr="008860A4">
        <w:rPr>
          <w:rFonts w:ascii="Arial" w:hAnsi="Arial" w:cs="Arial"/>
          <w:b/>
        </w:rPr>
        <w:t xml:space="preserve"> firmados entre distribuidora e revendedor</w:t>
      </w:r>
      <w:r w:rsidR="00E64B0F">
        <w:rPr>
          <w:rFonts w:ascii="Arial" w:hAnsi="Arial" w:cs="Arial"/>
        </w:rPr>
        <w:t xml:space="preserve">, materializados a partir </w:t>
      </w:r>
      <w:r w:rsidR="0044212C">
        <w:rPr>
          <w:rFonts w:ascii="Arial" w:hAnsi="Arial" w:cs="Arial"/>
        </w:rPr>
        <w:t xml:space="preserve">“(i) </w:t>
      </w:r>
      <w:r w:rsidR="00C0138F">
        <w:rPr>
          <w:rFonts w:ascii="Arial" w:hAnsi="Arial" w:cs="Arial"/>
        </w:rPr>
        <w:t>d</w:t>
      </w:r>
      <w:r w:rsidR="0044212C">
        <w:rPr>
          <w:rFonts w:ascii="Arial" w:hAnsi="Arial" w:cs="Arial"/>
        </w:rPr>
        <w:t xml:space="preserve">a forma de operação do posto (com ou sem bandeira); (ii) </w:t>
      </w:r>
      <w:r w:rsidR="00C0138F">
        <w:rPr>
          <w:rFonts w:ascii="Arial" w:hAnsi="Arial" w:cs="Arial"/>
        </w:rPr>
        <w:t>d</w:t>
      </w:r>
      <w:r w:rsidR="0044212C">
        <w:rPr>
          <w:rFonts w:ascii="Arial" w:hAnsi="Arial" w:cs="Arial"/>
        </w:rPr>
        <w:t>a propriedade dos ativos (não apenas os operacionais</w:t>
      </w:r>
      <w:r w:rsidR="000313C6">
        <w:rPr>
          <w:rFonts w:ascii="Arial" w:hAnsi="Arial" w:cs="Arial"/>
        </w:rPr>
        <w:t xml:space="preserve">, mas também o próprio terreno onde o posto está instalado); e (iii) </w:t>
      </w:r>
      <w:r w:rsidR="00C0138F">
        <w:rPr>
          <w:rFonts w:ascii="Arial" w:hAnsi="Arial" w:cs="Arial"/>
        </w:rPr>
        <w:t>d</w:t>
      </w:r>
      <w:r w:rsidR="000313C6">
        <w:rPr>
          <w:rFonts w:ascii="Arial" w:hAnsi="Arial" w:cs="Arial"/>
        </w:rPr>
        <w:t>o consequente nível de integração entre eles”</w:t>
      </w:r>
      <w:r w:rsidR="00C0138F">
        <w:rPr>
          <w:rFonts w:ascii="Arial" w:hAnsi="Arial" w:cs="Arial"/>
        </w:rPr>
        <w:t xml:space="preserve">, </w:t>
      </w:r>
      <w:r w:rsidR="00C0138F" w:rsidRPr="008860A4">
        <w:rPr>
          <w:rFonts w:ascii="Arial" w:hAnsi="Arial" w:cs="Arial"/>
          <w:b/>
        </w:rPr>
        <w:t xml:space="preserve">podem gerar os </w:t>
      </w:r>
      <w:r w:rsidR="00C0138F" w:rsidRPr="00A828BA">
        <w:rPr>
          <w:rFonts w:ascii="Arial" w:hAnsi="Arial" w:cs="Arial"/>
          <w:b/>
          <w:u w:val="single"/>
        </w:rPr>
        <w:t>mesmos efeitos</w:t>
      </w:r>
      <w:r w:rsidR="00C0138F">
        <w:rPr>
          <w:rFonts w:ascii="Arial" w:hAnsi="Arial" w:cs="Arial"/>
        </w:rPr>
        <w:t>, indicando, por exemplo, a título ilustrativo jurisdições que acabam regulando tais contratos</w:t>
      </w:r>
      <w:r w:rsidR="000313C6">
        <w:rPr>
          <w:rFonts w:ascii="Arial" w:hAnsi="Arial" w:cs="Arial"/>
        </w:rPr>
        <w:t>.</w:t>
      </w:r>
    </w:p>
    <w:p w:rsidR="00C0138F" w:rsidRDefault="00C0138F" w:rsidP="00E75AEA">
      <w:pPr>
        <w:ind w:firstLine="708"/>
        <w:jc w:val="both"/>
        <w:rPr>
          <w:rFonts w:ascii="Arial" w:hAnsi="Arial" w:cs="Arial"/>
        </w:rPr>
      </w:pPr>
    </w:p>
    <w:p w:rsidR="00C0138F" w:rsidRDefault="00C0138F" w:rsidP="00E75AEA">
      <w:pPr>
        <w:ind w:firstLine="708"/>
        <w:jc w:val="both"/>
        <w:rPr>
          <w:rFonts w:ascii="Arial" w:hAnsi="Arial" w:cs="Arial"/>
        </w:rPr>
      </w:pPr>
      <w:r>
        <w:rPr>
          <w:rFonts w:ascii="Arial" w:hAnsi="Arial" w:cs="Arial"/>
        </w:rPr>
        <w:t xml:space="preserve">Dentre as </w:t>
      </w:r>
      <w:r w:rsidR="008C4A75" w:rsidRPr="008860A4">
        <w:rPr>
          <w:rFonts w:ascii="Arial" w:hAnsi="Arial" w:cs="Arial"/>
          <w:b/>
        </w:rPr>
        <w:t>jurisdições que regulam estes contratos</w:t>
      </w:r>
      <w:r>
        <w:rPr>
          <w:rFonts w:ascii="Arial" w:hAnsi="Arial" w:cs="Arial"/>
        </w:rPr>
        <w:t>, o Relator</w:t>
      </w:r>
      <w:r w:rsidR="008C4A75">
        <w:rPr>
          <w:rFonts w:ascii="Arial" w:hAnsi="Arial" w:cs="Arial"/>
        </w:rPr>
        <w:t xml:space="preserve"> apontou, conforme mencionado no Parecer Analítico da i. SEAE, os casos (i) </w:t>
      </w:r>
      <w:r w:rsidR="00EF78D3">
        <w:rPr>
          <w:rFonts w:ascii="Arial" w:hAnsi="Arial" w:cs="Arial"/>
        </w:rPr>
        <w:t>a</w:t>
      </w:r>
      <w:r w:rsidR="008C4A75">
        <w:rPr>
          <w:rFonts w:ascii="Arial" w:hAnsi="Arial" w:cs="Arial"/>
        </w:rPr>
        <w:t>ustraliano</w:t>
      </w:r>
      <w:r w:rsidR="00CC786E">
        <w:rPr>
          <w:rFonts w:ascii="Arial" w:hAnsi="Arial" w:cs="Arial"/>
        </w:rPr>
        <w:t>,</w:t>
      </w:r>
      <w:r w:rsidR="008C4A75">
        <w:rPr>
          <w:rFonts w:ascii="Arial" w:hAnsi="Arial" w:cs="Arial"/>
        </w:rPr>
        <w:t xml:space="preserve"> em que os </w:t>
      </w:r>
      <w:r w:rsidR="008C4A75" w:rsidRPr="008860A4">
        <w:rPr>
          <w:rFonts w:ascii="Arial" w:hAnsi="Arial" w:cs="Arial"/>
          <w:b/>
        </w:rPr>
        <w:t>contratos de franquia</w:t>
      </w:r>
      <w:r w:rsidR="008C4A75">
        <w:rPr>
          <w:rFonts w:ascii="Arial" w:hAnsi="Arial" w:cs="Arial"/>
        </w:rPr>
        <w:t xml:space="preserve"> entre distribuidora e revendedora são regulados de forma a </w:t>
      </w:r>
      <w:r w:rsidR="008C4A75" w:rsidRPr="008860A4">
        <w:rPr>
          <w:rFonts w:ascii="Arial" w:hAnsi="Arial" w:cs="Arial"/>
          <w:b/>
        </w:rPr>
        <w:t>impedir a discriminação de preços entre franqueados</w:t>
      </w:r>
      <w:r w:rsidR="008C4A75">
        <w:rPr>
          <w:rFonts w:ascii="Arial" w:hAnsi="Arial" w:cs="Arial"/>
        </w:rPr>
        <w:t xml:space="preserve">; (ii) </w:t>
      </w:r>
      <w:r w:rsidR="00CC786E">
        <w:rPr>
          <w:rFonts w:ascii="Arial" w:hAnsi="Arial" w:cs="Arial"/>
        </w:rPr>
        <w:t>d</w:t>
      </w:r>
      <w:r w:rsidR="00EF78D3">
        <w:rPr>
          <w:rFonts w:ascii="Arial" w:hAnsi="Arial" w:cs="Arial"/>
        </w:rPr>
        <w:t>a comunidade europeia</w:t>
      </w:r>
      <w:r w:rsidR="00CC786E">
        <w:rPr>
          <w:rFonts w:ascii="Arial" w:hAnsi="Arial" w:cs="Arial"/>
        </w:rPr>
        <w:t>,</w:t>
      </w:r>
      <w:r w:rsidR="00EF78D3">
        <w:rPr>
          <w:rFonts w:ascii="Arial" w:hAnsi="Arial" w:cs="Arial"/>
        </w:rPr>
        <w:t xml:space="preserve"> em que </w:t>
      </w:r>
      <w:r w:rsidR="007E2B14">
        <w:rPr>
          <w:rFonts w:ascii="Arial" w:hAnsi="Arial" w:cs="Arial"/>
        </w:rPr>
        <w:t xml:space="preserve">o </w:t>
      </w:r>
      <w:r w:rsidR="007E2B14" w:rsidRPr="008860A4">
        <w:rPr>
          <w:rFonts w:ascii="Arial" w:hAnsi="Arial" w:cs="Arial"/>
          <w:b/>
        </w:rPr>
        <w:t>prazo de duração dos contratos de fornecimento exclusivo de combustíveis é limitado</w:t>
      </w:r>
      <w:r w:rsidR="007E2B14">
        <w:rPr>
          <w:rFonts w:ascii="Arial" w:hAnsi="Arial" w:cs="Arial"/>
        </w:rPr>
        <w:t xml:space="preserve"> de forma a reduzir a barreira à entrada no mercado </w:t>
      </w:r>
      <w:r w:rsidR="007E2B14">
        <w:rPr>
          <w:rFonts w:ascii="Arial" w:hAnsi="Arial" w:cs="Arial"/>
          <w:i/>
        </w:rPr>
        <w:t>downstream</w:t>
      </w:r>
      <w:r w:rsidR="007E2B14">
        <w:rPr>
          <w:rFonts w:ascii="Arial" w:hAnsi="Arial" w:cs="Arial"/>
        </w:rPr>
        <w:t>; e, ainda, (</w:t>
      </w:r>
      <w:r w:rsidR="000C6D06">
        <w:rPr>
          <w:rFonts w:ascii="Arial" w:hAnsi="Arial" w:cs="Arial"/>
        </w:rPr>
        <w:t xml:space="preserve">iii) argentino, em que a regulação determina que a </w:t>
      </w:r>
      <w:r w:rsidR="000C6D06" w:rsidRPr="008860A4">
        <w:rPr>
          <w:rFonts w:ascii="Arial" w:hAnsi="Arial" w:cs="Arial"/>
          <w:b/>
        </w:rPr>
        <w:t xml:space="preserve">distribuidora detentora dos ativos dados em comodato ou locados </w:t>
      </w:r>
      <w:r w:rsidR="00582112" w:rsidRPr="008860A4">
        <w:rPr>
          <w:rFonts w:ascii="Arial" w:hAnsi="Arial" w:cs="Arial"/>
          <w:b/>
        </w:rPr>
        <w:t>deverá aliená-los a qualquer tempo e a preço de mercado ao revendedor</w:t>
      </w:r>
      <w:r w:rsidR="00582112">
        <w:rPr>
          <w:rFonts w:ascii="Arial" w:hAnsi="Arial" w:cs="Arial"/>
        </w:rPr>
        <w:t xml:space="preserve"> que recebê-los ou locá-los e que esta medida seria uma forma de atribuir aos revendedores “</w:t>
      </w:r>
      <w:r w:rsidR="002F1784">
        <w:rPr>
          <w:rFonts w:ascii="Arial" w:hAnsi="Arial" w:cs="Arial"/>
        </w:rPr>
        <w:t xml:space="preserve">maior poder de barganha, ao tornar mais clara a </w:t>
      </w:r>
      <w:r w:rsidR="002F1784" w:rsidRPr="00A828BA">
        <w:rPr>
          <w:rFonts w:ascii="Arial" w:hAnsi="Arial" w:cs="Arial"/>
          <w:b/>
        </w:rPr>
        <w:t xml:space="preserve">opção de </w:t>
      </w:r>
      <w:r w:rsidR="002F1784" w:rsidRPr="00A828BA">
        <w:rPr>
          <w:rFonts w:ascii="Arial" w:hAnsi="Arial" w:cs="Arial"/>
          <w:b/>
          <w:u w:val="single"/>
        </w:rPr>
        <w:t>troca</w:t>
      </w:r>
      <w:r w:rsidR="002F1784" w:rsidRPr="00A828BA">
        <w:rPr>
          <w:rFonts w:ascii="Arial" w:hAnsi="Arial" w:cs="Arial"/>
          <w:b/>
        </w:rPr>
        <w:t xml:space="preserve">r de distribuidor ou mesmo </w:t>
      </w:r>
      <w:r w:rsidR="002F1784" w:rsidRPr="00A828BA">
        <w:rPr>
          <w:rFonts w:ascii="Arial" w:hAnsi="Arial" w:cs="Arial"/>
          <w:b/>
          <w:u w:val="single"/>
        </w:rPr>
        <w:t>virar</w:t>
      </w:r>
      <w:r w:rsidR="002F1784" w:rsidRPr="00A828BA">
        <w:rPr>
          <w:rFonts w:ascii="Arial" w:hAnsi="Arial" w:cs="Arial"/>
          <w:b/>
        </w:rPr>
        <w:t xml:space="preserve"> bandeira branca</w:t>
      </w:r>
      <w:r w:rsidR="002F1784">
        <w:rPr>
          <w:rFonts w:ascii="Arial" w:hAnsi="Arial" w:cs="Arial"/>
        </w:rPr>
        <w:t xml:space="preserve">”. </w:t>
      </w:r>
      <w:r w:rsidR="008860A4">
        <w:rPr>
          <w:rFonts w:ascii="Arial" w:hAnsi="Arial" w:cs="Arial"/>
        </w:rPr>
        <w:t>(Destacamos)</w:t>
      </w:r>
      <w:r w:rsidR="00EF78D3">
        <w:rPr>
          <w:rFonts w:ascii="Arial" w:hAnsi="Arial" w:cs="Arial"/>
        </w:rPr>
        <w:t xml:space="preserve"> </w:t>
      </w:r>
      <w:r>
        <w:rPr>
          <w:rFonts w:ascii="Arial" w:hAnsi="Arial" w:cs="Arial"/>
        </w:rPr>
        <w:t xml:space="preserve"> </w:t>
      </w:r>
    </w:p>
    <w:p w:rsidR="000313C6" w:rsidRDefault="000313C6" w:rsidP="00E75AEA">
      <w:pPr>
        <w:ind w:firstLine="708"/>
        <w:jc w:val="both"/>
        <w:rPr>
          <w:rFonts w:ascii="Arial" w:hAnsi="Arial" w:cs="Arial"/>
        </w:rPr>
      </w:pPr>
    </w:p>
    <w:p w:rsidR="00763953" w:rsidRDefault="00763953" w:rsidP="00E75AEA">
      <w:pPr>
        <w:ind w:firstLine="708"/>
        <w:jc w:val="both"/>
        <w:rPr>
          <w:rFonts w:ascii="Arial" w:hAnsi="Arial" w:cs="Arial"/>
        </w:rPr>
      </w:pPr>
      <w:r w:rsidRPr="003C53B8">
        <w:rPr>
          <w:rFonts w:ascii="Arial" w:hAnsi="Arial" w:cs="Arial"/>
        </w:rPr>
        <w:t>O</w:t>
      </w:r>
      <w:r>
        <w:rPr>
          <w:rFonts w:ascii="Arial" w:hAnsi="Arial" w:cs="Arial"/>
        </w:rPr>
        <w:t xml:space="preserve"> </w:t>
      </w:r>
      <w:r w:rsidR="002F1784">
        <w:rPr>
          <w:rFonts w:ascii="Arial" w:hAnsi="Arial" w:cs="Arial"/>
        </w:rPr>
        <w:t xml:space="preserve">Conselheiro Ragazzo reforça o seu entendimento de que </w:t>
      </w:r>
      <w:r w:rsidR="002F1784" w:rsidRPr="008860A4">
        <w:rPr>
          <w:rFonts w:ascii="Arial" w:hAnsi="Arial" w:cs="Arial"/>
          <w:b/>
        </w:rPr>
        <w:t>medidas regulatórias</w:t>
      </w:r>
      <w:r w:rsidR="00D96717">
        <w:rPr>
          <w:rFonts w:ascii="Arial" w:hAnsi="Arial" w:cs="Arial"/>
        </w:rPr>
        <w:t xml:space="preserve"> que trazem “um </w:t>
      </w:r>
      <w:r w:rsidR="00D96717" w:rsidRPr="008860A4">
        <w:rPr>
          <w:rFonts w:ascii="Arial" w:hAnsi="Arial" w:cs="Arial"/>
          <w:b/>
        </w:rPr>
        <w:t>limite jurídico à verticialização</w:t>
      </w:r>
      <w:r w:rsidR="00D96717">
        <w:rPr>
          <w:rFonts w:ascii="Arial" w:hAnsi="Arial" w:cs="Arial"/>
        </w:rPr>
        <w:t xml:space="preserve">” poderiam </w:t>
      </w:r>
      <w:r w:rsidR="00D96717" w:rsidRPr="008860A4">
        <w:rPr>
          <w:rFonts w:ascii="Arial" w:hAnsi="Arial" w:cs="Arial"/>
          <w:b/>
        </w:rPr>
        <w:t>mitigar</w:t>
      </w:r>
      <w:r w:rsidR="00D96717">
        <w:rPr>
          <w:rFonts w:ascii="Arial" w:hAnsi="Arial" w:cs="Arial"/>
        </w:rPr>
        <w:t xml:space="preserve">, pelo menos </w:t>
      </w:r>
      <w:r w:rsidR="00D96717" w:rsidRPr="00D96717">
        <w:rPr>
          <w:rFonts w:ascii="Arial" w:hAnsi="Arial" w:cs="Arial"/>
          <w:i/>
        </w:rPr>
        <w:t>a priori</w:t>
      </w:r>
      <w:r w:rsidR="00D96717">
        <w:rPr>
          <w:rFonts w:ascii="Arial" w:hAnsi="Arial" w:cs="Arial"/>
        </w:rPr>
        <w:t>, “</w:t>
      </w:r>
      <w:r w:rsidR="00D96717" w:rsidRPr="008860A4">
        <w:rPr>
          <w:rFonts w:ascii="Arial" w:hAnsi="Arial" w:cs="Arial"/>
          <w:b/>
        </w:rPr>
        <w:t>os riscos de surgimento de con</w:t>
      </w:r>
      <w:r w:rsidR="00012CBC" w:rsidRPr="008860A4">
        <w:rPr>
          <w:rFonts w:ascii="Arial" w:hAnsi="Arial" w:cs="Arial"/>
          <w:b/>
        </w:rPr>
        <w:t>dutas anticompetitivas</w:t>
      </w:r>
      <w:r w:rsidR="00012CBC">
        <w:rPr>
          <w:rFonts w:ascii="Arial" w:hAnsi="Arial" w:cs="Arial"/>
        </w:rPr>
        <w:t xml:space="preserve"> (...), gerando incentivo para uma </w:t>
      </w:r>
      <w:r w:rsidR="00012CBC">
        <w:rPr>
          <w:rFonts w:ascii="Arial" w:hAnsi="Arial" w:cs="Arial"/>
          <w:b/>
        </w:rPr>
        <w:t xml:space="preserve">competição </w:t>
      </w:r>
      <w:r w:rsidR="00012CBC" w:rsidRPr="00012CBC">
        <w:rPr>
          <w:rFonts w:ascii="Arial" w:hAnsi="Arial" w:cs="Arial"/>
        </w:rPr>
        <w:t>em que sociedades verticalizadas estariam necessariamente</w:t>
      </w:r>
      <w:r w:rsidR="00012CBC">
        <w:rPr>
          <w:rFonts w:ascii="Arial" w:hAnsi="Arial" w:cs="Arial"/>
        </w:rPr>
        <w:t xml:space="preserve"> competindo com grupos de revenda ‘puros</w:t>
      </w:r>
      <w:r w:rsidR="00EA4A08">
        <w:rPr>
          <w:rFonts w:ascii="Arial" w:hAnsi="Arial" w:cs="Arial"/>
        </w:rPr>
        <w:t>’</w:t>
      </w:r>
      <w:r w:rsidR="00012CBC">
        <w:rPr>
          <w:rFonts w:ascii="Arial" w:hAnsi="Arial" w:cs="Arial"/>
        </w:rPr>
        <w:t>, potencialmente suficientes a desincentivar a coordenação no setor de revenda e no de distribuição”.</w:t>
      </w:r>
      <w:r w:rsidR="007265E2">
        <w:rPr>
          <w:rFonts w:ascii="Arial" w:hAnsi="Arial" w:cs="Arial"/>
        </w:rPr>
        <w:t xml:space="preserve"> (Destacamos)</w:t>
      </w:r>
    </w:p>
    <w:p w:rsidR="00012CBC" w:rsidRDefault="00012CBC" w:rsidP="00E75AEA">
      <w:pPr>
        <w:ind w:firstLine="708"/>
        <w:jc w:val="both"/>
        <w:rPr>
          <w:rFonts w:ascii="Arial" w:hAnsi="Arial" w:cs="Arial"/>
          <w:b/>
        </w:rPr>
      </w:pPr>
    </w:p>
    <w:p w:rsidR="00012CBC" w:rsidRDefault="00012CBC" w:rsidP="00E75AEA">
      <w:pPr>
        <w:ind w:firstLine="708"/>
        <w:jc w:val="both"/>
        <w:rPr>
          <w:rFonts w:ascii="Arial" w:hAnsi="Arial" w:cs="Arial"/>
        </w:rPr>
      </w:pPr>
      <w:r w:rsidRPr="00012CBC">
        <w:rPr>
          <w:rFonts w:ascii="Arial" w:hAnsi="Arial" w:cs="Arial"/>
        </w:rPr>
        <w:t xml:space="preserve">Para tanto, </w:t>
      </w:r>
      <w:r>
        <w:rPr>
          <w:rFonts w:ascii="Arial" w:hAnsi="Arial" w:cs="Arial"/>
        </w:rPr>
        <w:t xml:space="preserve">sugere em seu voto que </w:t>
      </w:r>
      <w:r w:rsidR="00133885">
        <w:rPr>
          <w:rFonts w:ascii="Arial" w:hAnsi="Arial" w:cs="Arial"/>
        </w:rPr>
        <w:t xml:space="preserve">“essas alterações regulatórias poderão ter impacto direto no preço praticado ao consumidor e que </w:t>
      </w:r>
      <w:r w:rsidR="00133885" w:rsidRPr="007265E2">
        <w:rPr>
          <w:rFonts w:ascii="Arial" w:hAnsi="Arial" w:cs="Arial"/>
          <w:b/>
        </w:rPr>
        <w:t>o SBDC deve se inteirar das diversas formações de contratos verticais entre revendedores e distribuidores</w:t>
      </w:r>
      <w:r w:rsidR="00133885">
        <w:rPr>
          <w:rFonts w:ascii="Arial" w:hAnsi="Arial" w:cs="Arial"/>
        </w:rPr>
        <w:t xml:space="preserve">”. </w:t>
      </w:r>
      <w:r w:rsidR="006B7EC5">
        <w:rPr>
          <w:rFonts w:ascii="Arial" w:hAnsi="Arial" w:cs="Arial"/>
        </w:rPr>
        <w:t xml:space="preserve">Ressalta ainda nesse sentido ser “necessário entender a lógica da franquia e o </w:t>
      </w:r>
      <w:r w:rsidR="006B7EC5" w:rsidRPr="007265E2">
        <w:rPr>
          <w:rFonts w:ascii="Arial" w:hAnsi="Arial" w:cs="Arial"/>
          <w:b/>
        </w:rPr>
        <w:t>grau de influência da distribuidora nas revendas</w:t>
      </w:r>
      <w:r w:rsidR="006B7EC5">
        <w:rPr>
          <w:rFonts w:ascii="Arial" w:hAnsi="Arial" w:cs="Arial"/>
        </w:rPr>
        <w:t xml:space="preserve">, a fim de verificar se </w:t>
      </w:r>
      <w:r w:rsidR="0029218C">
        <w:rPr>
          <w:rFonts w:ascii="Arial" w:hAnsi="Arial" w:cs="Arial"/>
        </w:rPr>
        <w:t xml:space="preserve">há ou não algum possível </w:t>
      </w:r>
      <w:r w:rsidR="0029218C" w:rsidRPr="007265E2">
        <w:rPr>
          <w:rFonts w:ascii="Arial" w:hAnsi="Arial" w:cs="Arial"/>
          <w:b/>
        </w:rPr>
        <w:t>impacto anticompetitivo</w:t>
      </w:r>
      <w:r w:rsidR="0029218C">
        <w:rPr>
          <w:rFonts w:ascii="Arial" w:hAnsi="Arial" w:cs="Arial"/>
        </w:rPr>
        <w:t xml:space="preserve"> decorrente dessas avenças”, bem como “avaliar se a proibição à verticalização, tal como disposta na Portaria ANP nº 116, merece revisão diante dos possíveis ganhos de eficiência decorrentes da verticalização societária-operacional, </w:t>
      </w:r>
      <w:r w:rsidR="0029218C">
        <w:rPr>
          <w:rFonts w:ascii="Arial" w:hAnsi="Arial" w:cs="Arial"/>
          <w:b/>
        </w:rPr>
        <w:t>desde que</w:t>
      </w:r>
      <w:r w:rsidR="0029218C">
        <w:rPr>
          <w:rFonts w:ascii="Arial" w:hAnsi="Arial" w:cs="Arial"/>
        </w:rPr>
        <w:t xml:space="preserve">, a exemplo de modelos internacionais, </w:t>
      </w:r>
      <w:r w:rsidR="0029218C">
        <w:rPr>
          <w:rFonts w:ascii="Arial" w:hAnsi="Arial" w:cs="Arial"/>
          <w:b/>
        </w:rPr>
        <w:t xml:space="preserve">respeite-se um limite à essa possibilidade de operação, mantendo-se um </w:t>
      </w:r>
      <w:r w:rsidR="0029218C" w:rsidRPr="00A828BA">
        <w:rPr>
          <w:rFonts w:ascii="Arial" w:hAnsi="Arial" w:cs="Arial"/>
          <w:b/>
          <w:u w:val="single"/>
        </w:rPr>
        <w:t>número significativo de revendedores livres</w:t>
      </w:r>
      <w:r w:rsidR="00E175DD">
        <w:rPr>
          <w:rFonts w:ascii="Arial" w:hAnsi="Arial" w:cs="Arial"/>
        </w:rPr>
        <w:t>”. (Destacamos)</w:t>
      </w:r>
    </w:p>
    <w:p w:rsidR="00A03F77" w:rsidRDefault="00A03F77" w:rsidP="00E75AEA">
      <w:pPr>
        <w:ind w:firstLine="708"/>
        <w:jc w:val="both"/>
        <w:rPr>
          <w:rFonts w:ascii="Arial" w:hAnsi="Arial" w:cs="Arial"/>
        </w:rPr>
      </w:pPr>
    </w:p>
    <w:p w:rsidR="00A03F77" w:rsidRDefault="00A03F77" w:rsidP="00E75AEA">
      <w:pPr>
        <w:ind w:firstLine="708"/>
        <w:jc w:val="both"/>
        <w:rPr>
          <w:rFonts w:ascii="Arial" w:hAnsi="Arial" w:cs="Arial"/>
        </w:rPr>
      </w:pPr>
      <w:r>
        <w:rPr>
          <w:rFonts w:ascii="Arial" w:hAnsi="Arial" w:cs="Arial"/>
        </w:rPr>
        <w:t xml:space="preserve">Outro voto interessante que merece </w:t>
      </w:r>
      <w:r w:rsidR="007265E2">
        <w:rPr>
          <w:rFonts w:ascii="Arial" w:hAnsi="Arial" w:cs="Arial"/>
        </w:rPr>
        <w:t xml:space="preserve">ser aqui </w:t>
      </w:r>
      <w:r>
        <w:rPr>
          <w:rFonts w:ascii="Arial" w:hAnsi="Arial" w:cs="Arial"/>
        </w:rPr>
        <w:t>desta</w:t>
      </w:r>
      <w:r w:rsidR="007265E2">
        <w:rPr>
          <w:rFonts w:ascii="Arial" w:hAnsi="Arial" w:cs="Arial"/>
        </w:rPr>
        <w:t>cado</w:t>
      </w:r>
      <w:r>
        <w:rPr>
          <w:rFonts w:ascii="Arial" w:hAnsi="Arial" w:cs="Arial"/>
        </w:rPr>
        <w:t xml:space="preserve"> por elucidar os problemas competitivos </w:t>
      </w:r>
      <w:r w:rsidR="00A67AA8">
        <w:rPr>
          <w:rFonts w:ascii="Arial" w:hAnsi="Arial" w:cs="Arial"/>
        </w:rPr>
        <w:t xml:space="preserve">dos contratos de exclusividade é aquele proferido pelo </w:t>
      </w:r>
      <w:r w:rsidR="00A67AA8">
        <w:rPr>
          <w:rFonts w:ascii="Arial" w:hAnsi="Arial" w:cs="Arial"/>
        </w:rPr>
        <w:lastRenderedPageBreak/>
        <w:t>Conselheiro-Relator, Vinícius Marques de Carvalho, nos autos do Ato de Concentração nº 08012.002820/2007-93</w:t>
      </w:r>
      <w:r w:rsidR="00A67AA8">
        <w:rPr>
          <w:rStyle w:val="Refdenotaderodap"/>
          <w:rFonts w:ascii="Arial" w:hAnsi="Arial" w:cs="Arial"/>
        </w:rPr>
        <w:footnoteReference w:id="39"/>
      </w:r>
      <w:r w:rsidR="00F423A7">
        <w:rPr>
          <w:rFonts w:ascii="Arial" w:hAnsi="Arial" w:cs="Arial"/>
        </w:rPr>
        <w:t>.</w:t>
      </w:r>
    </w:p>
    <w:p w:rsidR="00F423A7" w:rsidRDefault="00F423A7" w:rsidP="00E75AEA">
      <w:pPr>
        <w:ind w:firstLine="708"/>
        <w:jc w:val="both"/>
        <w:rPr>
          <w:rFonts w:ascii="Arial" w:hAnsi="Arial" w:cs="Arial"/>
        </w:rPr>
      </w:pPr>
    </w:p>
    <w:p w:rsidR="00F423A7" w:rsidRDefault="00F423A7" w:rsidP="00E75AEA">
      <w:pPr>
        <w:ind w:firstLine="708"/>
        <w:jc w:val="both"/>
        <w:rPr>
          <w:rFonts w:ascii="Arial" w:hAnsi="Arial" w:cs="Arial"/>
        </w:rPr>
      </w:pPr>
      <w:r>
        <w:rPr>
          <w:rFonts w:ascii="Arial" w:hAnsi="Arial" w:cs="Arial"/>
        </w:rPr>
        <w:t xml:space="preserve">Inicialmente, o Conselheiro </w:t>
      </w:r>
      <w:r w:rsidR="003D292B">
        <w:rPr>
          <w:rFonts w:ascii="Arial" w:hAnsi="Arial" w:cs="Arial"/>
        </w:rPr>
        <w:t xml:space="preserve">Vinícius </w:t>
      </w:r>
      <w:r>
        <w:rPr>
          <w:rFonts w:ascii="Arial" w:hAnsi="Arial" w:cs="Arial"/>
        </w:rPr>
        <w:t>Carvalho</w:t>
      </w:r>
      <w:r w:rsidR="003D292B">
        <w:rPr>
          <w:rFonts w:ascii="Arial" w:hAnsi="Arial" w:cs="Arial"/>
        </w:rPr>
        <w:t xml:space="preserve"> </w:t>
      </w:r>
      <w:r w:rsidR="005B7A95">
        <w:rPr>
          <w:rFonts w:ascii="Arial" w:hAnsi="Arial" w:cs="Arial"/>
        </w:rPr>
        <w:t>reportou</w:t>
      </w:r>
      <w:r w:rsidR="003D292B">
        <w:rPr>
          <w:rFonts w:ascii="Arial" w:hAnsi="Arial" w:cs="Arial"/>
        </w:rPr>
        <w:t xml:space="preserve"> em seu voto os argumentos trazidos</w:t>
      </w:r>
      <w:r w:rsidR="00EA4A08">
        <w:rPr>
          <w:rFonts w:ascii="Arial" w:hAnsi="Arial" w:cs="Arial"/>
        </w:rPr>
        <w:t xml:space="preserve"> no voto d</w:t>
      </w:r>
      <w:r w:rsidR="003D292B">
        <w:rPr>
          <w:rFonts w:ascii="Arial" w:hAnsi="Arial" w:cs="Arial"/>
        </w:rPr>
        <w:t xml:space="preserve">o saudoso Conselheiro Luis Fernando Schuartz, proferido nos autos do Ato de Concentração nº </w:t>
      </w:r>
      <w:r w:rsidR="000A3640">
        <w:rPr>
          <w:rFonts w:ascii="Arial" w:hAnsi="Arial" w:cs="Arial"/>
        </w:rPr>
        <w:t>08012.005539/2004-60</w:t>
      </w:r>
      <w:r w:rsidR="000A3640">
        <w:rPr>
          <w:rStyle w:val="Refdenotaderodap"/>
          <w:rFonts w:ascii="Arial" w:hAnsi="Arial" w:cs="Arial"/>
        </w:rPr>
        <w:footnoteReference w:id="40"/>
      </w:r>
      <w:r w:rsidR="005B7A95">
        <w:rPr>
          <w:rFonts w:ascii="Arial" w:hAnsi="Arial" w:cs="Arial"/>
        </w:rPr>
        <w:t xml:space="preserve">, </w:t>
      </w:r>
      <w:r w:rsidR="005911CE">
        <w:rPr>
          <w:rFonts w:ascii="Arial" w:hAnsi="Arial" w:cs="Arial"/>
        </w:rPr>
        <w:t xml:space="preserve">e </w:t>
      </w:r>
      <w:r w:rsidR="00B501C1">
        <w:rPr>
          <w:rFonts w:ascii="Arial" w:hAnsi="Arial" w:cs="Arial"/>
        </w:rPr>
        <w:t xml:space="preserve">que levaram à aprovação da operação envolvendo a aquisição dos ativos da AGIP pela Petrobras sob a </w:t>
      </w:r>
      <w:r w:rsidR="00B501C1" w:rsidRPr="005911CE">
        <w:rPr>
          <w:rFonts w:ascii="Arial" w:hAnsi="Arial" w:cs="Arial"/>
          <w:b/>
        </w:rPr>
        <w:t xml:space="preserve">condição de </w:t>
      </w:r>
      <w:r w:rsidR="00B501C1" w:rsidRPr="00A828BA">
        <w:rPr>
          <w:rFonts w:ascii="Arial" w:hAnsi="Arial" w:cs="Arial"/>
          <w:b/>
          <w:u w:val="single"/>
        </w:rPr>
        <w:t>serem alienados</w:t>
      </w:r>
      <w:r w:rsidR="00B501C1" w:rsidRPr="005911CE">
        <w:rPr>
          <w:rFonts w:ascii="Arial" w:hAnsi="Arial" w:cs="Arial"/>
          <w:b/>
        </w:rPr>
        <w:t xml:space="preserve"> a terceiros os direitos inerentes a </w:t>
      </w:r>
      <w:r w:rsidR="00B501C1" w:rsidRPr="00A828BA">
        <w:rPr>
          <w:rFonts w:ascii="Arial" w:hAnsi="Arial" w:cs="Arial"/>
          <w:b/>
          <w:u w:val="single"/>
        </w:rPr>
        <w:t>contratos de exclusividade</w:t>
      </w:r>
      <w:r w:rsidR="00B501C1">
        <w:rPr>
          <w:rFonts w:ascii="Arial" w:hAnsi="Arial" w:cs="Arial"/>
        </w:rPr>
        <w:t xml:space="preserve"> que a AGIP havia celebrado com revendedores de municípios em que a operação gerava uma elevada concentração de mercado. </w:t>
      </w:r>
    </w:p>
    <w:p w:rsidR="00FA7195" w:rsidRDefault="00FA7195" w:rsidP="00E75AEA">
      <w:pPr>
        <w:ind w:firstLine="708"/>
        <w:jc w:val="both"/>
        <w:rPr>
          <w:rFonts w:ascii="Arial" w:hAnsi="Arial" w:cs="Arial"/>
        </w:rPr>
      </w:pPr>
    </w:p>
    <w:p w:rsidR="00C474EA" w:rsidRDefault="00FA7195" w:rsidP="00E75AEA">
      <w:pPr>
        <w:ind w:firstLine="708"/>
        <w:jc w:val="both"/>
        <w:rPr>
          <w:rFonts w:ascii="Arial" w:hAnsi="Arial" w:cs="Arial"/>
        </w:rPr>
      </w:pPr>
      <w:r>
        <w:rPr>
          <w:rFonts w:ascii="Arial" w:hAnsi="Arial" w:cs="Arial"/>
        </w:rPr>
        <w:t>Conforme apontado pelo Conselheiro Carvalho</w:t>
      </w:r>
      <w:r w:rsidR="00C474EA">
        <w:rPr>
          <w:rFonts w:ascii="Arial" w:hAnsi="Arial" w:cs="Arial"/>
        </w:rPr>
        <w:t>:</w:t>
      </w:r>
    </w:p>
    <w:p w:rsidR="00C474EA" w:rsidRPr="00C42FAD" w:rsidRDefault="00C474EA" w:rsidP="00E75AEA">
      <w:pPr>
        <w:ind w:firstLine="708"/>
        <w:jc w:val="both"/>
        <w:rPr>
          <w:rFonts w:ascii="Arial" w:hAnsi="Arial" w:cs="Arial"/>
          <w:sz w:val="20"/>
          <w:szCs w:val="20"/>
        </w:rPr>
      </w:pPr>
    </w:p>
    <w:p w:rsidR="00C474EA" w:rsidRPr="00C42FAD" w:rsidRDefault="00C474EA" w:rsidP="00C474EA">
      <w:pPr>
        <w:ind w:left="1416"/>
        <w:jc w:val="both"/>
        <w:rPr>
          <w:rFonts w:ascii="Arial" w:hAnsi="Arial" w:cs="Arial"/>
          <w:i/>
          <w:sz w:val="20"/>
          <w:szCs w:val="20"/>
        </w:rPr>
      </w:pPr>
      <w:r w:rsidRPr="00C42FAD">
        <w:rPr>
          <w:rFonts w:ascii="Arial" w:hAnsi="Arial" w:cs="Arial"/>
          <w:sz w:val="20"/>
          <w:szCs w:val="20"/>
        </w:rPr>
        <w:t>“</w:t>
      </w:r>
      <w:r w:rsidRPr="00C42FAD">
        <w:rPr>
          <w:rFonts w:ascii="Arial" w:hAnsi="Arial" w:cs="Arial"/>
          <w:i/>
          <w:sz w:val="20"/>
          <w:szCs w:val="20"/>
        </w:rPr>
        <w:t>De acordo com Schuartz, enquanto espécie de ‘</w:t>
      </w:r>
      <w:r w:rsidRPr="0031407D">
        <w:rPr>
          <w:rFonts w:ascii="Arial" w:hAnsi="Arial" w:cs="Arial"/>
          <w:b/>
          <w:i/>
          <w:sz w:val="20"/>
          <w:szCs w:val="20"/>
        </w:rPr>
        <w:t>concentração de direitos’ de fornecimento</w:t>
      </w:r>
      <w:r w:rsidR="00854ECA" w:rsidRPr="0031407D">
        <w:rPr>
          <w:rFonts w:ascii="Arial" w:hAnsi="Arial" w:cs="Arial"/>
          <w:b/>
          <w:i/>
          <w:sz w:val="20"/>
          <w:szCs w:val="20"/>
        </w:rPr>
        <w:t xml:space="preserve"> exclusivo de combustíveis líquidos</w:t>
      </w:r>
      <w:r w:rsidR="00854ECA" w:rsidRPr="00C42FAD">
        <w:rPr>
          <w:rFonts w:ascii="Arial" w:hAnsi="Arial" w:cs="Arial"/>
          <w:i/>
          <w:sz w:val="20"/>
          <w:szCs w:val="20"/>
        </w:rPr>
        <w:t xml:space="preserve"> a determinado conjunto de </w:t>
      </w:r>
      <w:r w:rsidR="00854ECA" w:rsidRPr="0031407D">
        <w:rPr>
          <w:rFonts w:ascii="Arial" w:hAnsi="Arial" w:cs="Arial"/>
          <w:b/>
          <w:i/>
          <w:sz w:val="20"/>
          <w:szCs w:val="20"/>
        </w:rPr>
        <w:t>postos de revenda</w:t>
      </w:r>
      <w:r w:rsidR="00854ECA" w:rsidRPr="00C42FAD">
        <w:rPr>
          <w:rFonts w:ascii="Arial" w:hAnsi="Arial" w:cs="Arial"/>
          <w:i/>
          <w:sz w:val="20"/>
          <w:szCs w:val="20"/>
        </w:rPr>
        <w:t xml:space="preserve">, a mencionada transferência </w:t>
      </w:r>
      <w:r w:rsidR="00854ECA" w:rsidRPr="0031407D">
        <w:rPr>
          <w:rFonts w:ascii="Arial" w:hAnsi="Arial" w:cs="Arial"/>
          <w:b/>
          <w:i/>
          <w:sz w:val="20"/>
          <w:szCs w:val="20"/>
        </w:rPr>
        <w:t>aumenta o grau de concentração nos mercados relevantes de distribuição de combustíveis líquidos</w:t>
      </w:r>
      <w:r w:rsidR="00854ECA" w:rsidRPr="00C42FAD">
        <w:rPr>
          <w:rFonts w:ascii="Arial" w:hAnsi="Arial" w:cs="Arial"/>
          <w:i/>
          <w:sz w:val="20"/>
          <w:szCs w:val="20"/>
        </w:rPr>
        <w:t xml:space="preserve">. Por outro lado, </w:t>
      </w:r>
      <w:r w:rsidR="00854ECA" w:rsidRPr="0031407D">
        <w:rPr>
          <w:rFonts w:ascii="Arial" w:hAnsi="Arial" w:cs="Arial"/>
          <w:b/>
          <w:i/>
          <w:sz w:val="20"/>
          <w:szCs w:val="20"/>
        </w:rPr>
        <w:t xml:space="preserve">essa mesma concentração de direitos de fornecimento exclusivo, aliada à concentração de outros direitos, especialmente os direitos à </w:t>
      </w:r>
      <w:r w:rsidR="0031407D" w:rsidRPr="0031407D">
        <w:rPr>
          <w:rFonts w:ascii="Arial" w:hAnsi="Arial" w:cs="Arial"/>
          <w:b/>
          <w:i/>
          <w:sz w:val="20"/>
          <w:szCs w:val="20"/>
        </w:rPr>
        <w:t>licença</w:t>
      </w:r>
      <w:r w:rsidR="00854ECA" w:rsidRPr="0031407D">
        <w:rPr>
          <w:rFonts w:ascii="Arial" w:hAnsi="Arial" w:cs="Arial"/>
          <w:b/>
          <w:i/>
          <w:sz w:val="20"/>
          <w:szCs w:val="20"/>
        </w:rPr>
        <w:t xml:space="preserve"> de uso de marca e ao comodato de equipamento para utilização nos postos revendedores, em questão, garante à distribuidora uma ‘</w:t>
      </w:r>
      <w:r w:rsidR="00854ECA" w:rsidRPr="005911CE">
        <w:rPr>
          <w:rFonts w:ascii="Arial" w:hAnsi="Arial" w:cs="Arial"/>
          <w:b/>
          <w:i/>
          <w:sz w:val="20"/>
          <w:szCs w:val="20"/>
          <w:u w:val="single"/>
        </w:rPr>
        <w:t>influência decisiva na formulação das estratégias comerciais</w:t>
      </w:r>
      <w:r w:rsidR="00854ECA" w:rsidRPr="0031407D">
        <w:rPr>
          <w:rFonts w:ascii="Arial" w:hAnsi="Arial" w:cs="Arial"/>
          <w:b/>
          <w:i/>
          <w:sz w:val="20"/>
          <w:szCs w:val="20"/>
        </w:rPr>
        <w:t xml:space="preserve"> por parte desses estabelecimentos, que pode ser estrategicamente empregada pela mesma no sentido de uma </w:t>
      </w:r>
      <w:r w:rsidR="00854ECA" w:rsidRPr="0031407D">
        <w:rPr>
          <w:rFonts w:ascii="Arial" w:hAnsi="Arial" w:cs="Arial"/>
          <w:b/>
          <w:i/>
          <w:sz w:val="20"/>
          <w:szCs w:val="20"/>
          <w:u w:val="single"/>
        </w:rPr>
        <w:t>redução da concorrência</w:t>
      </w:r>
      <w:r w:rsidR="00854ECA" w:rsidRPr="00C42FAD">
        <w:rPr>
          <w:rFonts w:ascii="Arial" w:hAnsi="Arial" w:cs="Arial"/>
          <w:i/>
          <w:sz w:val="20"/>
          <w:szCs w:val="20"/>
        </w:rPr>
        <w:t xml:space="preserve"> entre esses e/ou entre esses e outros revendedores de combustíveis líquidos no âmbito de seus mercados relevantes de atuação. </w:t>
      </w:r>
    </w:p>
    <w:p w:rsidR="00854ECA" w:rsidRPr="00C42FAD" w:rsidRDefault="00854ECA" w:rsidP="00C474EA">
      <w:pPr>
        <w:ind w:left="1416"/>
        <w:jc w:val="both"/>
        <w:rPr>
          <w:rFonts w:ascii="Arial" w:hAnsi="Arial" w:cs="Arial"/>
          <w:i/>
          <w:sz w:val="20"/>
          <w:szCs w:val="20"/>
        </w:rPr>
      </w:pPr>
    </w:p>
    <w:p w:rsidR="00854ECA" w:rsidRPr="00C42FAD" w:rsidRDefault="00854ECA" w:rsidP="00C474EA">
      <w:pPr>
        <w:ind w:left="1416"/>
        <w:jc w:val="both"/>
        <w:rPr>
          <w:rFonts w:ascii="Arial" w:hAnsi="Arial" w:cs="Arial"/>
          <w:i/>
          <w:sz w:val="20"/>
          <w:szCs w:val="20"/>
        </w:rPr>
      </w:pPr>
      <w:r w:rsidRPr="00C42FAD">
        <w:rPr>
          <w:rFonts w:ascii="Arial" w:hAnsi="Arial" w:cs="Arial"/>
          <w:i/>
          <w:sz w:val="20"/>
          <w:szCs w:val="20"/>
        </w:rPr>
        <w:t xml:space="preserve">Com </w:t>
      </w:r>
      <w:r w:rsidR="00080E85" w:rsidRPr="00C42FAD">
        <w:rPr>
          <w:rFonts w:ascii="Arial" w:hAnsi="Arial" w:cs="Arial"/>
          <w:i/>
          <w:sz w:val="20"/>
          <w:szCs w:val="20"/>
        </w:rPr>
        <w:t xml:space="preserve">base nestes argumentos, entendeu-se que </w:t>
      </w:r>
      <w:r w:rsidR="00080E85" w:rsidRPr="0031407D">
        <w:rPr>
          <w:rFonts w:ascii="Arial" w:hAnsi="Arial" w:cs="Arial"/>
          <w:b/>
          <w:i/>
          <w:sz w:val="20"/>
          <w:szCs w:val="20"/>
        </w:rPr>
        <w:t>a relação distribuidora e posto revendedor se assemelharia à de controle compartilhado</w:t>
      </w:r>
      <w:r w:rsidR="00080E85" w:rsidRPr="00C42FAD">
        <w:rPr>
          <w:rFonts w:ascii="Arial" w:hAnsi="Arial" w:cs="Arial"/>
          <w:i/>
          <w:sz w:val="20"/>
          <w:szCs w:val="20"/>
        </w:rPr>
        <w:t>, com a peculiaridade de que o espaço para decisões de política comercial de um dos ‘controladores’ (o ‘gerente” do negócio) está pré-estruturado pelas decisões do outro, e as decisões do primeiro são constantemente monitoradas pelo segundo. Tal compreensão decorre do fato de que, ainda que, por razões de natureza regulatória, distribuidores de combustível l</w:t>
      </w:r>
      <w:r w:rsidR="00033156" w:rsidRPr="00C42FAD">
        <w:rPr>
          <w:rFonts w:ascii="Arial" w:hAnsi="Arial" w:cs="Arial"/>
          <w:i/>
          <w:sz w:val="20"/>
          <w:szCs w:val="20"/>
        </w:rPr>
        <w:t xml:space="preserve">íquido não possam ser proprietários de postos revendedores. Assim, </w:t>
      </w:r>
      <w:r w:rsidR="00033156" w:rsidRPr="000435BB">
        <w:rPr>
          <w:rFonts w:ascii="Arial" w:hAnsi="Arial" w:cs="Arial"/>
          <w:b/>
          <w:i/>
          <w:sz w:val="20"/>
          <w:szCs w:val="20"/>
        </w:rPr>
        <w:t>o poder de fixar preços / quantidades e a propriedade sobre ativos importantes, tais como a m</w:t>
      </w:r>
      <w:r w:rsidR="000435BB">
        <w:rPr>
          <w:rFonts w:ascii="Arial" w:hAnsi="Arial" w:cs="Arial"/>
          <w:b/>
          <w:i/>
          <w:sz w:val="20"/>
          <w:szCs w:val="20"/>
        </w:rPr>
        <w:t>a</w:t>
      </w:r>
      <w:r w:rsidR="00033156" w:rsidRPr="000435BB">
        <w:rPr>
          <w:rFonts w:ascii="Arial" w:hAnsi="Arial" w:cs="Arial"/>
          <w:b/>
          <w:i/>
          <w:sz w:val="20"/>
          <w:szCs w:val="20"/>
        </w:rPr>
        <w:t>rca, fazem do distribuidor uma espécie de ‘controlador conjunto’ do posto revendedor</w:t>
      </w:r>
      <w:r w:rsidR="002D508E" w:rsidRPr="00C42FAD">
        <w:rPr>
          <w:rFonts w:ascii="Arial" w:hAnsi="Arial" w:cs="Arial"/>
          <w:i/>
          <w:sz w:val="20"/>
          <w:szCs w:val="20"/>
        </w:rPr>
        <w:t xml:space="preserve">, mais precisamente, </w:t>
      </w:r>
      <w:r w:rsidR="002D508E" w:rsidRPr="000435BB">
        <w:rPr>
          <w:rFonts w:ascii="Arial" w:hAnsi="Arial" w:cs="Arial"/>
          <w:b/>
          <w:i/>
          <w:sz w:val="20"/>
          <w:szCs w:val="20"/>
        </w:rPr>
        <w:t>um agente dotado de capacidade de direcionar as decisões do proprietário</w:t>
      </w:r>
      <w:r w:rsidR="002D508E" w:rsidRPr="00C42FAD">
        <w:rPr>
          <w:rFonts w:ascii="Arial" w:hAnsi="Arial" w:cs="Arial"/>
          <w:i/>
          <w:sz w:val="20"/>
          <w:szCs w:val="20"/>
        </w:rPr>
        <w:t xml:space="preserve"> tendo em vista a realização dos seus – i.e., do distribuidor – interesses</w:t>
      </w:r>
      <w:r w:rsidR="00C42FAD" w:rsidRPr="00C42FAD">
        <w:rPr>
          <w:rFonts w:ascii="Arial" w:hAnsi="Arial" w:cs="Arial"/>
          <w:i/>
          <w:sz w:val="20"/>
          <w:szCs w:val="20"/>
        </w:rPr>
        <w:t xml:space="preserve">, não se podendo excluir a possibilidade de que, sob certas circunstâncias, </w:t>
      </w:r>
      <w:r w:rsidR="00C42FAD" w:rsidRPr="000435BB">
        <w:rPr>
          <w:rFonts w:ascii="Arial" w:hAnsi="Arial" w:cs="Arial"/>
          <w:b/>
          <w:i/>
          <w:sz w:val="20"/>
          <w:szCs w:val="20"/>
        </w:rPr>
        <w:t>os interesses individuais do distribuidor não estejam alinhados aos interesses individuais do proprietário formal do estabelecimento</w:t>
      </w:r>
      <w:r w:rsidR="00C42FAD" w:rsidRPr="00C42FAD">
        <w:rPr>
          <w:rFonts w:ascii="Arial" w:hAnsi="Arial" w:cs="Arial"/>
          <w:i/>
          <w:sz w:val="20"/>
          <w:szCs w:val="20"/>
        </w:rPr>
        <w:t>”. (Destacamos)</w:t>
      </w:r>
    </w:p>
    <w:p w:rsidR="00C474EA" w:rsidRDefault="00C474EA" w:rsidP="00E75AEA">
      <w:pPr>
        <w:ind w:firstLine="708"/>
        <w:jc w:val="both"/>
        <w:rPr>
          <w:rFonts w:ascii="Arial" w:hAnsi="Arial" w:cs="Arial"/>
        </w:rPr>
      </w:pPr>
    </w:p>
    <w:p w:rsidR="00E175DD" w:rsidRDefault="003A29AE" w:rsidP="00E75AEA">
      <w:pPr>
        <w:ind w:firstLine="708"/>
        <w:jc w:val="both"/>
        <w:rPr>
          <w:rFonts w:ascii="Arial" w:hAnsi="Arial" w:cs="Arial"/>
        </w:rPr>
      </w:pPr>
      <w:r>
        <w:rPr>
          <w:rFonts w:ascii="Arial" w:hAnsi="Arial" w:cs="Arial"/>
        </w:rPr>
        <w:lastRenderedPageBreak/>
        <w:t xml:space="preserve">Embora o Conselheiro Vinícius Carvalho tenha em seu voto ratificado as preocupações apresentadas pelo Conselheiro Schuartz quanto aos efeitos anticompetitivos associados aos contratos de exclusividade, verifica-se que não seguiu o </w:t>
      </w:r>
      <w:r w:rsidR="0072054A">
        <w:rPr>
          <w:rFonts w:ascii="Arial" w:hAnsi="Arial" w:cs="Arial"/>
        </w:rPr>
        <w:t xml:space="preserve">mesmo </w:t>
      </w:r>
      <w:r>
        <w:rPr>
          <w:rFonts w:ascii="Arial" w:hAnsi="Arial" w:cs="Arial"/>
        </w:rPr>
        <w:t xml:space="preserve">remédio </w:t>
      </w:r>
      <w:r w:rsidR="0077629D">
        <w:rPr>
          <w:rFonts w:ascii="Arial" w:hAnsi="Arial" w:cs="Arial"/>
        </w:rPr>
        <w:t xml:space="preserve">apresentado por </w:t>
      </w:r>
      <w:r w:rsidR="0072054A">
        <w:rPr>
          <w:rFonts w:ascii="Arial" w:hAnsi="Arial" w:cs="Arial"/>
        </w:rPr>
        <w:t xml:space="preserve">ele </w:t>
      </w:r>
      <w:r w:rsidR="0077629D">
        <w:rPr>
          <w:rFonts w:ascii="Arial" w:hAnsi="Arial" w:cs="Arial"/>
        </w:rPr>
        <w:t>para aprovação</w:t>
      </w:r>
      <w:r w:rsidR="0072054A">
        <w:rPr>
          <w:rFonts w:ascii="Arial" w:hAnsi="Arial" w:cs="Arial"/>
        </w:rPr>
        <w:t>, com restrições,</w:t>
      </w:r>
      <w:r w:rsidR="0077629D">
        <w:rPr>
          <w:rFonts w:ascii="Arial" w:hAnsi="Arial" w:cs="Arial"/>
        </w:rPr>
        <w:t xml:space="preserve"> da operação Petrobras / AGIP</w:t>
      </w:r>
      <w:r w:rsidR="0072054A">
        <w:rPr>
          <w:rFonts w:ascii="Arial" w:hAnsi="Arial" w:cs="Arial"/>
        </w:rPr>
        <w:t>,</w:t>
      </w:r>
      <w:r w:rsidR="0077629D">
        <w:rPr>
          <w:rFonts w:ascii="Arial" w:hAnsi="Arial" w:cs="Arial"/>
        </w:rPr>
        <w:t xml:space="preserve"> e que se relacionava à </w:t>
      </w:r>
      <w:r w:rsidR="0077629D" w:rsidRPr="0072054A">
        <w:rPr>
          <w:rFonts w:ascii="Arial" w:hAnsi="Arial" w:cs="Arial"/>
          <w:b/>
        </w:rPr>
        <w:t>alienação de parte dos contratos de exclusividade a uma distribuidora terceira</w:t>
      </w:r>
      <w:r w:rsidR="0077629D">
        <w:rPr>
          <w:rFonts w:ascii="Arial" w:hAnsi="Arial" w:cs="Arial"/>
        </w:rPr>
        <w:t xml:space="preserve">. </w:t>
      </w:r>
    </w:p>
    <w:p w:rsidR="0077629D" w:rsidRDefault="0077629D" w:rsidP="00E75AEA">
      <w:pPr>
        <w:ind w:firstLine="708"/>
        <w:jc w:val="both"/>
        <w:rPr>
          <w:rFonts w:ascii="Arial" w:hAnsi="Arial" w:cs="Arial"/>
        </w:rPr>
      </w:pPr>
    </w:p>
    <w:p w:rsidR="00003031" w:rsidRDefault="0077629D" w:rsidP="00E75AEA">
      <w:pPr>
        <w:ind w:firstLine="708"/>
        <w:jc w:val="both"/>
        <w:rPr>
          <w:rFonts w:ascii="Arial" w:hAnsi="Arial" w:cs="Arial"/>
        </w:rPr>
      </w:pPr>
      <w:r>
        <w:rPr>
          <w:rFonts w:ascii="Arial" w:hAnsi="Arial" w:cs="Arial"/>
        </w:rPr>
        <w:t xml:space="preserve">Não obstante esta </w:t>
      </w:r>
      <w:r w:rsidR="00BF4D50">
        <w:rPr>
          <w:rFonts w:ascii="Arial" w:hAnsi="Arial" w:cs="Arial"/>
        </w:rPr>
        <w:t>divergência</w:t>
      </w:r>
      <w:r w:rsidR="00473D93">
        <w:rPr>
          <w:rFonts w:ascii="Arial" w:hAnsi="Arial" w:cs="Arial"/>
        </w:rPr>
        <w:t xml:space="preserve"> de entendimento</w:t>
      </w:r>
      <w:r w:rsidR="00BF4D50">
        <w:rPr>
          <w:rFonts w:ascii="Arial" w:hAnsi="Arial" w:cs="Arial"/>
        </w:rPr>
        <w:t xml:space="preserve">, o Conselheiro Vinícius Carvalho considerou necessária a </w:t>
      </w:r>
      <w:r w:rsidR="00BF4D50" w:rsidRPr="0072054A">
        <w:rPr>
          <w:rFonts w:ascii="Arial" w:hAnsi="Arial" w:cs="Arial"/>
          <w:b/>
        </w:rPr>
        <w:t>aplicação de outro tipo de remédio</w:t>
      </w:r>
      <w:r w:rsidR="00BF4D50">
        <w:rPr>
          <w:rFonts w:ascii="Arial" w:hAnsi="Arial" w:cs="Arial"/>
        </w:rPr>
        <w:t xml:space="preserve"> que</w:t>
      </w:r>
      <w:r w:rsidR="00F94C63">
        <w:rPr>
          <w:rFonts w:ascii="Arial" w:hAnsi="Arial" w:cs="Arial"/>
        </w:rPr>
        <w:t>,</w:t>
      </w:r>
      <w:r w:rsidR="00BF4D50">
        <w:rPr>
          <w:rFonts w:ascii="Arial" w:hAnsi="Arial" w:cs="Arial"/>
        </w:rPr>
        <w:t xml:space="preserve"> segundo ele</w:t>
      </w:r>
      <w:r w:rsidR="00F94C63">
        <w:rPr>
          <w:rFonts w:ascii="Arial" w:hAnsi="Arial" w:cs="Arial"/>
        </w:rPr>
        <w:t>,</w:t>
      </w:r>
      <w:r w:rsidR="00BF4D50">
        <w:rPr>
          <w:rFonts w:ascii="Arial" w:hAnsi="Arial" w:cs="Arial"/>
        </w:rPr>
        <w:t xml:space="preserve"> seria uma “medida </w:t>
      </w:r>
      <w:r w:rsidR="00003031">
        <w:rPr>
          <w:rFonts w:ascii="Arial" w:hAnsi="Arial" w:cs="Arial"/>
        </w:rPr>
        <w:t>mais eficaz e ao mesmo tempo conservadora”, associad</w:t>
      </w:r>
      <w:r w:rsidR="00EA4A08">
        <w:rPr>
          <w:rFonts w:ascii="Arial" w:hAnsi="Arial" w:cs="Arial"/>
        </w:rPr>
        <w:t>a</w:t>
      </w:r>
      <w:r w:rsidR="00003031">
        <w:rPr>
          <w:rFonts w:ascii="Arial" w:hAnsi="Arial" w:cs="Arial"/>
        </w:rPr>
        <w:t xml:space="preserve"> à </w:t>
      </w:r>
      <w:r w:rsidR="00003031" w:rsidRPr="00F94C63">
        <w:rPr>
          <w:rFonts w:ascii="Arial" w:hAnsi="Arial" w:cs="Arial"/>
          <w:b/>
        </w:rPr>
        <w:t xml:space="preserve">não aplicação de “qualquer multa contratual ou penalidade aos postos revendedores que queiram contratar com distribuidores </w:t>
      </w:r>
      <w:r w:rsidR="005648F4" w:rsidRPr="00F94C63">
        <w:rPr>
          <w:rFonts w:ascii="Arial" w:hAnsi="Arial" w:cs="Arial"/>
          <w:b/>
        </w:rPr>
        <w:t>c</w:t>
      </w:r>
      <w:r w:rsidR="00003031" w:rsidRPr="00F94C63">
        <w:rPr>
          <w:rFonts w:ascii="Arial" w:hAnsi="Arial" w:cs="Arial"/>
          <w:b/>
        </w:rPr>
        <w:t>oncorrentes</w:t>
      </w:r>
      <w:r w:rsidR="00003031">
        <w:rPr>
          <w:rFonts w:ascii="Arial" w:hAnsi="Arial" w:cs="Arial"/>
        </w:rPr>
        <w:t>”.</w:t>
      </w:r>
      <w:r w:rsidR="00F94C63">
        <w:rPr>
          <w:rFonts w:ascii="Arial" w:hAnsi="Arial" w:cs="Arial"/>
        </w:rPr>
        <w:t xml:space="preserve"> (Destacamos)</w:t>
      </w:r>
    </w:p>
    <w:p w:rsidR="00473D93" w:rsidRDefault="00473D93" w:rsidP="00E75AEA">
      <w:pPr>
        <w:ind w:firstLine="708"/>
        <w:jc w:val="both"/>
        <w:rPr>
          <w:rFonts w:ascii="Arial" w:hAnsi="Arial" w:cs="Arial"/>
        </w:rPr>
      </w:pPr>
    </w:p>
    <w:p w:rsidR="00F22682" w:rsidRDefault="00473D93" w:rsidP="00E75AEA">
      <w:pPr>
        <w:ind w:firstLine="708"/>
        <w:jc w:val="both"/>
        <w:rPr>
          <w:rFonts w:ascii="Arial" w:hAnsi="Arial" w:cs="Arial"/>
        </w:rPr>
      </w:pPr>
      <w:r>
        <w:rPr>
          <w:rFonts w:ascii="Arial" w:hAnsi="Arial" w:cs="Arial"/>
        </w:rPr>
        <w:t>Note-se ainda que</w:t>
      </w:r>
      <w:r w:rsidR="00642182">
        <w:rPr>
          <w:rFonts w:ascii="Arial" w:hAnsi="Arial" w:cs="Arial"/>
        </w:rPr>
        <w:t xml:space="preserve">, em seu voto, o Conselheiro Vinícius </w:t>
      </w:r>
      <w:r w:rsidR="00EA4A08">
        <w:rPr>
          <w:rFonts w:ascii="Arial" w:hAnsi="Arial" w:cs="Arial"/>
        </w:rPr>
        <w:t>Carvalho</w:t>
      </w:r>
      <w:r w:rsidR="00642182">
        <w:rPr>
          <w:rFonts w:ascii="Arial" w:hAnsi="Arial" w:cs="Arial"/>
        </w:rPr>
        <w:t>, na mesma esteira d</w:t>
      </w:r>
      <w:r w:rsidR="00BC183B">
        <w:rPr>
          <w:rFonts w:ascii="Arial" w:hAnsi="Arial" w:cs="Arial"/>
        </w:rPr>
        <w:t>a sugestão apresentada</w:t>
      </w:r>
      <w:r w:rsidR="00642182">
        <w:rPr>
          <w:rFonts w:ascii="Arial" w:hAnsi="Arial" w:cs="Arial"/>
        </w:rPr>
        <w:t xml:space="preserve"> pelo Conselheiro Ragazzo no voto proferido no supracitado Processo Administrativo nº 08012.005545/1999-16</w:t>
      </w:r>
      <w:r w:rsidR="00F22682">
        <w:rPr>
          <w:rFonts w:ascii="Arial" w:hAnsi="Arial" w:cs="Arial"/>
        </w:rPr>
        <w:t xml:space="preserve">, </w:t>
      </w:r>
      <w:r w:rsidR="00F94C63">
        <w:rPr>
          <w:rFonts w:ascii="Arial" w:hAnsi="Arial" w:cs="Arial"/>
        </w:rPr>
        <w:t>reconheceu a importância e necessidade da adoção de</w:t>
      </w:r>
      <w:r w:rsidR="00F22682">
        <w:rPr>
          <w:rFonts w:ascii="Arial" w:hAnsi="Arial" w:cs="Arial"/>
        </w:rPr>
        <w:t xml:space="preserve"> ações de </w:t>
      </w:r>
      <w:r w:rsidR="00F22682">
        <w:rPr>
          <w:rFonts w:ascii="Arial" w:hAnsi="Arial" w:cs="Arial"/>
          <w:i/>
        </w:rPr>
        <w:t xml:space="preserve">Advocacy </w:t>
      </w:r>
      <w:r w:rsidR="00F22682">
        <w:rPr>
          <w:rFonts w:ascii="Arial" w:hAnsi="Arial" w:cs="Arial"/>
        </w:rPr>
        <w:t xml:space="preserve">junto à ANP com o “propósito de </w:t>
      </w:r>
      <w:r w:rsidR="00F22682" w:rsidRPr="00A828BA">
        <w:rPr>
          <w:rFonts w:ascii="Arial" w:hAnsi="Arial" w:cs="Arial"/>
          <w:b/>
        </w:rPr>
        <w:t>prevenir que problemas verticais como este tornem a acontecer</w:t>
      </w:r>
      <w:r w:rsidR="00F22682">
        <w:rPr>
          <w:rFonts w:ascii="Arial" w:hAnsi="Arial" w:cs="Arial"/>
        </w:rPr>
        <w:t xml:space="preserve">”, </w:t>
      </w:r>
      <w:r w:rsidR="00F22682">
        <w:rPr>
          <w:rFonts w:ascii="Arial" w:hAnsi="Arial" w:cs="Arial"/>
          <w:i/>
        </w:rPr>
        <w:t>in verbis</w:t>
      </w:r>
      <w:r w:rsidR="00F22682">
        <w:rPr>
          <w:rFonts w:ascii="Arial" w:hAnsi="Arial" w:cs="Arial"/>
        </w:rPr>
        <w:t>:</w:t>
      </w:r>
    </w:p>
    <w:p w:rsidR="00F22682" w:rsidRDefault="00F22682" w:rsidP="00E75AEA">
      <w:pPr>
        <w:ind w:firstLine="708"/>
        <w:jc w:val="both"/>
        <w:rPr>
          <w:rFonts w:ascii="Arial" w:hAnsi="Arial" w:cs="Arial"/>
        </w:rPr>
      </w:pPr>
    </w:p>
    <w:p w:rsidR="00840A00" w:rsidRPr="00840A00" w:rsidRDefault="00F22682" w:rsidP="00F22682">
      <w:pPr>
        <w:ind w:left="1416"/>
        <w:jc w:val="both"/>
        <w:rPr>
          <w:rFonts w:ascii="Arial" w:hAnsi="Arial" w:cs="Arial"/>
          <w:i/>
          <w:sz w:val="20"/>
          <w:szCs w:val="20"/>
        </w:rPr>
      </w:pPr>
      <w:r>
        <w:rPr>
          <w:rFonts w:ascii="Arial" w:hAnsi="Arial" w:cs="Arial"/>
        </w:rPr>
        <w:t>“</w:t>
      </w:r>
      <w:r w:rsidRPr="00840A00">
        <w:rPr>
          <w:rFonts w:ascii="Arial" w:hAnsi="Arial" w:cs="Arial"/>
          <w:i/>
          <w:sz w:val="20"/>
          <w:szCs w:val="20"/>
        </w:rPr>
        <w:t xml:space="preserve">Do ponto de vista da </w:t>
      </w:r>
      <w:r w:rsidRPr="00F94C63">
        <w:rPr>
          <w:rFonts w:ascii="Arial" w:hAnsi="Arial" w:cs="Arial"/>
          <w:b/>
          <w:i/>
          <w:sz w:val="20"/>
          <w:szCs w:val="20"/>
        </w:rPr>
        <w:t>advocacia da concorrência</w:t>
      </w:r>
      <w:r w:rsidRPr="00840A00">
        <w:rPr>
          <w:rFonts w:ascii="Arial" w:hAnsi="Arial" w:cs="Arial"/>
          <w:i/>
          <w:sz w:val="20"/>
          <w:szCs w:val="20"/>
        </w:rPr>
        <w:t xml:space="preserve">, e com propósito de </w:t>
      </w:r>
      <w:r w:rsidRPr="00F94C63">
        <w:rPr>
          <w:rFonts w:ascii="Arial" w:hAnsi="Arial" w:cs="Arial"/>
          <w:b/>
          <w:i/>
          <w:sz w:val="20"/>
          <w:szCs w:val="20"/>
        </w:rPr>
        <w:t>prevenir que problemas verticais como este tornem a acontecer</w:t>
      </w:r>
      <w:r w:rsidR="00840A00" w:rsidRPr="00840A00">
        <w:rPr>
          <w:rFonts w:ascii="Arial" w:hAnsi="Arial" w:cs="Arial"/>
          <w:i/>
          <w:sz w:val="20"/>
          <w:szCs w:val="20"/>
        </w:rPr>
        <w:t xml:space="preserve">, seria relevante realizar uma consulta à ANP a respeito do impacto e da conveniência de normas que </w:t>
      </w:r>
      <w:r w:rsidR="00840A00" w:rsidRPr="00F94C63">
        <w:rPr>
          <w:rFonts w:ascii="Arial" w:hAnsi="Arial" w:cs="Arial"/>
          <w:b/>
          <w:i/>
          <w:sz w:val="20"/>
          <w:szCs w:val="20"/>
        </w:rPr>
        <w:t>proíbam</w:t>
      </w:r>
      <w:r w:rsidR="00840A00" w:rsidRPr="00840A00">
        <w:rPr>
          <w:rFonts w:ascii="Arial" w:hAnsi="Arial" w:cs="Arial"/>
          <w:i/>
          <w:sz w:val="20"/>
          <w:szCs w:val="20"/>
        </w:rPr>
        <w:t xml:space="preserve">, além da atuação da distribuidora na revenda diretamente (como fez o art. 16-A da Portaria ANP nº 29, de 09 de fevereiro de 1999, e o art. 12 da Portaria ANP nº 116, de 05 de julho de 2006), </w:t>
      </w:r>
      <w:r w:rsidR="00840A00" w:rsidRPr="00840A00">
        <w:rPr>
          <w:rFonts w:ascii="Arial" w:hAnsi="Arial" w:cs="Arial"/>
          <w:b/>
          <w:i/>
          <w:sz w:val="20"/>
          <w:szCs w:val="20"/>
        </w:rPr>
        <w:t xml:space="preserve">estipulações </w:t>
      </w:r>
      <w:r w:rsidR="00840A00" w:rsidRPr="00A828BA">
        <w:rPr>
          <w:rFonts w:ascii="Arial" w:hAnsi="Arial" w:cs="Arial"/>
          <w:b/>
          <w:i/>
          <w:sz w:val="20"/>
          <w:szCs w:val="20"/>
          <w:u w:val="single"/>
        </w:rPr>
        <w:t>contratuais</w:t>
      </w:r>
      <w:r w:rsidR="00840A00" w:rsidRPr="00840A00">
        <w:rPr>
          <w:rFonts w:ascii="Arial" w:hAnsi="Arial" w:cs="Arial"/>
          <w:b/>
          <w:i/>
          <w:sz w:val="20"/>
          <w:szCs w:val="20"/>
        </w:rPr>
        <w:t xml:space="preserve"> que, do ponto de vista vertical, </w:t>
      </w:r>
      <w:r w:rsidR="00840A00" w:rsidRPr="00A828BA">
        <w:rPr>
          <w:rFonts w:ascii="Arial" w:hAnsi="Arial" w:cs="Arial"/>
          <w:b/>
          <w:i/>
          <w:sz w:val="20"/>
          <w:szCs w:val="20"/>
          <w:u w:val="single"/>
        </w:rPr>
        <w:t>elevem de forma despropositada as barreiras à entrada</w:t>
      </w:r>
      <w:r w:rsidR="00840A00" w:rsidRPr="00840A00">
        <w:rPr>
          <w:rFonts w:ascii="Arial" w:hAnsi="Arial" w:cs="Arial"/>
          <w:b/>
          <w:i/>
          <w:sz w:val="20"/>
          <w:szCs w:val="20"/>
        </w:rPr>
        <w:t>, tais como</w:t>
      </w:r>
      <w:r w:rsidR="00840A00" w:rsidRPr="00840A00">
        <w:rPr>
          <w:rFonts w:ascii="Arial" w:hAnsi="Arial" w:cs="Arial"/>
          <w:i/>
          <w:sz w:val="20"/>
          <w:szCs w:val="20"/>
        </w:rPr>
        <w:t>:</w:t>
      </w:r>
    </w:p>
    <w:p w:rsidR="00840A00" w:rsidRPr="00840A00" w:rsidRDefault="00840A00" w:rsidP="00F22682">
      <w:pPr>
        <w:ind w:left="1416"/>
        <w:jc w:val="both"/>
        <w:rPr>
          <w:rFonts w:ascii="Arial" w:hAnsi="Arial" w:cs="Arial"/>
          <w:i/>
          <w:sz w:val="20"/>
          <w:szCs w:val="20"/>
        </w:rPr>
      </w:pPr>
    </w:p>
    <w:p w:rsidR="00840A00" w:rsidRPr="00840A00" w:rsidRDefault="00840A00" w:rsidP="00840A00">
      <w:pPr>
        <w:pStyle w:val="PargrafodaLista"/>
        <w:numPr>
          <w:ilvl w:val="0"/>
          <w:numId w:val="4"/>
        </w:numPr>
        <w:jc w:val="both"/>
        <w:rPr>
          <w:rFonts w:ascii="Arial" w:hAnsi="Arial" w:cs="Arial"/>
          <w:i/>
          <w:sz w:val="20"/>
          <w:szCs w:val="20"/>
        </w:rPr>
      </w:pPr>
      <w:r>
        <w:rPr>
          <w:rFonts w:ascii="Arial" w:hAnsi="Arial" w:cs="Arial"/>
          <w:b/>
          <w:i/>
          <w:sz w:val="20"/>
          <w:szCs w:val="20"/>
        </w:rPr>
        <w:t>c</w:t>
      </w:r>
      <w:r w:rsidRPr="00840A00">
        <w:rPr>
          <w:rFonts w:ascii="Arial" w:hAnsi="Arial" w:cs="Arial"/>
          <w:b/>
          <w:i/>
          <w:sz w:val="20"/>
          <w:szCs w:val="20"/>
        </w:rPr>
        <w:t>ontrat</w:t>
      </w:r>
      <w:r>
        <w:rPr>
          <w:rFonts w:ascii="Arial" w:hAnsi="Arial" w:cs="Arial"/>
          <w:b/>
          <w:i/>
          <w:sz w:val="20"/>
          <w:szCs w:val="20"/>
        </w:rPr>
        <w:t>os de revenda que permitem revisão apenas de 5 em 5 anos;</w:t>
      </w:r>
    </w:p>
    <w:p w:rsidR="00840A00" w:rsidRPr="00840A00" w:rsidRDefault="00840A00" w:rsidP="00840A00">
      <w:pPr>
        <w:pStyle w:val="PargrafodaLista"/>
        <w:numPr>
          <w:ilvl w:val="0"/>
          <w:numId w:val="4"/>
        </w:numPr>
        <w:jc w:val="both"/>
        <w:rPr>
          <w:rFonts w:ascii="Arial" w:hAnsi="Arial" w:cs="Arial"/>
          <w:i/>
          <w:sz w:val="20"/>
          <w:szCs w:val="20"/>
        </w:rPr>
      </w:pPr>
      <w:r>
        <w:rPr>
          <w:rFonts w:ascii="Arial" w:hAnsi="Arial" w:cs="Arial"/>
          <w:b/>
          <w:i/>
          <w:sz w:val="20"/>
          <w:szCs w:val="20"/>
        </w:rPr>
        <w:t>contratos de revenda que garantem a propriedade dos ativos da revenda à distribuidora em municípios com problemas verticais (atendidos por uma ou por poucas distribuidoras);</w:t>
      </w:r>
    </w:p>
    <w:p w:rsidR="00473D93" w:rsidRPr="00D3359A" w:rsidRDefault="00840A00" w:rsidP="00840A00">
      <w:pPr>
        <w:pStyle w:val="PargrafodaLista"/>
        <w:numPr>
          <w:ilvl w:val="0"/>
          <w:numId w:val="4"/>
        </w:numPr>
        <w:jc w:val="both"/>
        <w:rPr>
          <w:rFonts w:ascii="Arial" w:hAnsi="Arial" w:cs="Arial"/>
          <w:i/>
          <w:sz w:val="20"/>
          <w:szCs w:val="20"/>
        </w:rPr>
      </w:pPr>
      <w:r>
        <w:rPr>
          <w:rFonts w:ascii="Arial" w:hAnsi="Arial" w:cs="Arial"/>
          <w:b/>
          <w:i/>
          <w:sz w:val="20"/>
          <w:szCs w:val="20"/>
        </w:rPr>
        <w:t>contratos de revenda que preveem elevadas</w:t>
      </w:r>
      <w:r w:rsidR="00D3359A">
        <w:rPr>
          <w:rFonts w:ascii="Arial" w:hAnsi="Arial" w:cs="Arial"/>
          <w:b/>
          <w:i/>
          <w:sz w:val="20"/>
          <w:szCs w:val="20"/>
        </w:rPr>
        <w:t xml:space="preserve"> multas contratuais de forma desarrazoada;</w:t>
      </w:r>
    </w:p>
    <w:p w:rsidR="00D3359A" w:rsidRDefault="00D3359A" w:rsidP="00840A00">
      <w:pPr>
        <w:pStyle w:val="PargrafodaLista"/>
        <w:numPr>
          <w:ilvl w:val="0"/>
          <w:numId w:val="4"/>
        </w:numPr>
        <w:jc w:val="both"/>
        <w:rPr>
          <w:rFonts w:ascii="Arial" w:hAnsi="Arial" w:cs="Arial"/>
          <w:i/>
          <w:sz w:val="20"/>
          <w:szCs w:val="20"/>
        </w:rPr>
      </w:pPr>
      <w:r>
        <w:rPr>
          <w:rFonts w:ascii="Arial" w:hAnsi="Arial" w:cs="Arial"/>
          <w:i/>
          <w:sz w:val="20"/>
          <w:szCs w:val="20"/>
        </w:rPr>
        <w:t>dentre outras questões de natureza vertical.</w:t>
      </w:r>
    </w:p>
    <w:p w:rsidR="009D299F" w:rsidRDefault="00D3359A" w:rsidP="005B2801">
      <w:pPr>
        <w:ind w:left="1416"/>
        <w:jc w:val="both"/>
        <w:rPr>
          <w:rFonts w:ascii="Arial" w:hAnsi="Arial" w:cs="Arial"/>
          <w:i/>
          <w:sz w:val="20"/>
          <w:szCs w:val="20"/>
        </w:rPr>
      </w:pPr>
      <w:r>
        <w:rPr>
          <w:rFonts w:ascii="Arial" w:hAnsi="Arial" w:cs="Arial"/>
          <w:i/>
          <w:sz w:val="20"/>
          <w:szCs w:val="20"/>
        </w:rPr>
        <w:t xml:space="preserve">Além disso, há questões ainda mais complexas que se referem à </w:t>
      </w:r>
      <w:r w:rsidRPr="00A828BA">
        <w:rPr>
          <w:rFonts w:ascii="Arial" w:hAnsi="Arial" w:cs="Arial"/>
          <w:b/>
          <w:i/>
          <w:sz w:val="20"/>
          <w:szCs w:val="20"/>
        </w:rPr>
        <w:t xml:space="preserve">possibilidade de um </w:t>
      </w:r>
      <w:r w:rsidRPr="00A828BA">
        <w:rPr>
          <w:rFonts w:ascii="Arial" w:hAnsi="Arial" w:cs="Arial"/>
          <w:b/>
          <w:i/>
          <w:sz w:val="20"/>
          <w:szCs w:val="20"/>
          <w:u w:val="single"/>
        </w:rPr>
        <w:t>único revendedor</w:t>
      </w:r>
      <w:r w:rsidRPr="00A828BA">
        <w:rPr>
          <w:rFonts w:ascii="Arial" w:hAnsi="Arial" w:cs="Arial"/>
          <w:b/>
          <w:i/>
          <w:sz w:val="20"/>
          <w:szCs w:val="20"/>
        </w:rPr>
        <w:t xml:space="preserve"> comprar combustível de </w:t>
      </w:r>
      <w:r w:rsidRPr="00A828BA">
        <w:rPr>
          <w:rFonts w:ascii="Arial" w:hAnsi="Arial" w:cs="Arial"/>
          <w:b/>
          <w:i/>
          <w:sz w:val="20"/>
          <w:szCs w:val="20"/>
          <w:u w:val="single"/>
        </w:rPr>
        <w:t xml:space="preserve">mais </w:t>
      </w:r>
      <w:r w:rsidR="009D299F" w:rsidRPr="00A828BA">
        <w:rPr>
          <w:rFonts w:ascii="Arial" w:hAnsi="Arial" w:cs="Arial"/>
          <w:b/>
          <w:i/>
          <w:sz w:val="20"/>
          <w:szCs w:val="20"/>
          <w:u w:val="single"/>
        </w:rPr>
        <w:t>de uma bandeira</w:t>
      </w:r>
      <w:r w:rsidR="009D299F">
        <w:rPr>
          <w:rFonts w:ascii="Arial" w:hAnsi="Arial" w:cs="Arial"/>
          <w:i/>
          <w:sz w:val="20"/>
          <w:szCs w:val="20"/>
        </w:rPr>
        <w:t>. Se, por um lado, este revendedor possui poder compensatório para negociar preços mais vantajosos com as distribuidoras, por outro lado, esta espécie de conformação da estrutura concorrencial possui diversas desvantagens, tais como:</w:t>
      </w:r>
    </w:p>
    <w:p w:rsidR="005B2801" w:rsidRDefault="005B2801" w:rsidP="005B2801">
      <w:pPr>
        <w:ind w:left="1416"/>
        <w:jc w:val="both"/>
        <w:rPr>
          <w:rFonts w:ascii="Arial" w:hAnsi="Arial" w:cs="Arial"/>
          <w:i/>
          <w:sz w:val="20"/>
          <w:szCs w:val="20"/>
        </w:rPr>
      </w:pPr>
    </w:p>
    <w:p w:rsidR="005B2801" w:rsidRDefault="005B2801" w:rsidP="005B2801">
      <w:pPr>
        <w:pStyle w:val="PargrafodaLista"/>
        <w:numPr>
          <w:ilvl w:val="0"/>
          <w:numId w:val="6"/>
        </w:numPr>
        <w:jc w:val="both"/>
        <w:rPr>
          <w:rFonts w:ascii="Arial" w:hAnsi="Arial" w:cs="Arial"/>
          <w:i/>
          <w:sz w:val="20"/>
          <w:szCs w:val="20"/>
        </w:rPr>
      </w:pPr>
      <w:r>
        <w:rPr>
          <w:rFonts w:ascii="Arial" w:hAnsi="Arial" w:cs="Arial"/>
          <w:i/>
          <w:sz w:val="20"/>
          <w:szCs w:val="20"/>
        </w:rPr>
        <w:t>não necessariamente há uma garantia que o preço menor será repassado ao consumidor;</w:t>
      </w:r>
    </w:p>
    <w:p w:rsidR="005B2801" w:rsidRDefault="005B2801" w:rsidP="005B2801">
      <w:pPr>
        <w:pStyle w:val="PargrafodaLista"/>
        <w:numPr>
          <w:ilvl w:val="0"/>
          <w:numId w:val="6"/>
        </w:numPr>
        <w:jc w:val="both"/>
        <w:rPr>
          <w:rFonts w:ascii="Arial" w:hAnsi="Arial" w:cs="Arial"/>
          <w:i/>
          <w:sz w:val="20"/>
          <w:szCs w:val="20"/>
        </w:rPr>
      </w:pPr>
      <w:r>
        <w:rPr>
          <w:rFonts w:ascii="Arial" w:hAnsi="Arial" w:cs="Arial"/>
          <w:i/>
          <w:sz w:val="20"/>
          <w:szCs w:val="20"/>
        </w:rPr>
        <w:t xml:space="preserve">a estrutura permite, em algum grau, </w:t>
      </w:r>
      <w:r w:rsidRPr="008D26AF">
        <w:rPr>
          <w:rFonts w:ascii="Arial" w:hAnsi="Arial" w:cs="Arial"/>
          <w:b/>
          <w:i/>
          <w:sz w:val="20"/>
          <w:szCs w:val="20"/>
        </w:rPr>
        <w:t xml:space="preserve">a coordenação entre os diferentes atores, dependendo do grau </w:t>
      </w:r>
      <w:r w:rsidR="008D26AF" w:rsidRPr="008D26AF">
        <w:rPr>
          <w:rFonts w:ascii="Arial" w:hAnsi="Arial" w:cs="Arial"/>
          <w:b/>
          <w:i/>
          <w:sz w:val="20"/>
          <w:szCs w:val="20"/>
        </w:rPr>
        <w:t>de verticalização desta distribuidora</w:t>
      </w:r>
      <w:r w:rsidR="008D26AF">
        <w:rPr>
          <w:rFonts w:ascii="Arial" w:hAnsi="Arial" w:cs="Arial"/>
          <w:b/>
          <w:i/>
          <w:sz w:val="20"/>
          <w:szCs w:val="20"/>
        </w:rPr>
        <w:t xml:space="preserve"> com um revendedor dominante em âmbito municipal que possua contratos com outras distribuidoras</w:t>
      </w:r>
      <w:r w:rsidR="008D26AF">
        <w:rPr>
          <w:rFonts w:ascii="Arial" w:hAnsi="Arial" w:cs="Arial"/>
          <w:i/>
          <w:sz w:val="20"/>
          <w:szCs w:val="20"/>
        </w:rPr>
        <w:t xml:space="preserve">; </w:t>
      </w:r>
    </w:p>
    <w:p w:rsidR="008D26AF" w:rsidRPr="005B2801" w:rsidRDefault="008D26AF" w:rsidP="005B2801">
      <w:pPr>
        <w:pStyle w:val="PargrafodaLista"/>
        <w:numPr>
          <w:ilvl w:val="0"/>
          <w:numId w:val="6"/>
        </w:numPr>
        <w:jc w:val="both"/>
        <w:rPr>
          <w:rFonts w:ascii="Arial" w:hAnsi="Arial" w:cs="Arial"/>
          <w:i/>
          <w:sz w:val="20"/>
          <w:szCs w:val="20"/>
        </w:rPr>
      </w:pPr>
      <w:r>
        <w:rPr>
          <w:rFonts w:ascii="Arial" w:hAnsi="Arial" w:cs="Arial"/>
          <w:i/>
          <w:sz w:val="20"/>
          <w:szCs w:val="20"/>
        </w:rPr>
        <w:t>dificulta-se a análise das concentrações verticais e horizontais no setor</w:t>
      </w:r>
      <w:r>
        <w:rPr>
          <w:rFonts w:ascii="Arial" w:hAnsi="Arial" w:cs="Arial"/>
          <w:sz w:val="20"/>
          <w:szCs w:val="20"/>
        </w:rPr>
        <w:t>”</w:t>
      </w:r>
      <w:r w:rsidRPr="008D26AF">
        <w:rPr>
          <w:rFonts w:ascii="Arial" w:hAnsi="Arial" w:cs="Arial"/>
          <w:sz w:val="20"/>
          <w:szCs w:val="20"/>
        </w:rPr>
        <w:t>.</w:t>
      </w:r>
      <w:r>
        <w:rPr>
          <w:rFonts w:ascii="Arial" w:hAnsi="Arial" w:cs="Arial"/>
          <w:sz w:val="20"/>
          <w:szCs w:val="20"/>
        </w:rPr>
        <w:t xml:space="preserve"> (Destacamos)</w:t>
      </w:r>
    </w:p>
    <w:p w:rsidR="00003031" w:rsidRDefault="00003031" w:rsidP="00E75AEA">
      <w:pPr>
        <w:ind w:firstLine="708"/>
        <w:jc w:val="both"/>
        <w:rPr>
          <w:rFonts w:ascii="Arial" w:hAnsi="Arial" w:cs="Arial"/>
        </w:rPr>
      </w:pPr>
    </w:p>
    <w:p w:rsidR="0072296C" w:rsidRDefault="003058B0" w:rsidP="00E75AEA">
      <w:pPr>
        <w:ind w:firstLine="708"/>
        <w:jc w:val="both"/>
        <w:rPr>
          <w:rFonts w:ascii="Arial" w:hAnsi="Arial" w:cs="Arial"/>
        </w:rPr>
      </w:pPr>
      <w:r>
        <w:rPr>
          <w:rFonts w:ascii="Arial" w:hAnsi="Arial" w:cs="Arial"/>
        </w:rPr>
        <w:lastRenderedPageBreak/>
        <w:t xml:space="preserve">Ainda no âmbito da análise do mencionado Ato de Concentração nº 08012.005539/2004-60, cabe </w:t>
      </w:r>
      <w:r w:rsidR="00A177AB">
        <w:rPr>
          <w:rFonts w:ascii="Arial" w:hAnsi="Arial" w:cs="Arial"/>
        </w:rPr>
        <w:t>apontar</w:t>
      </w:r>
      <w:r w:rsidR="00BC183B">
        <w:rPr>
          <w:rFonts w:ascii="Arial" w:hAnsi="Arial" w:cs="Arial"/>
        </w:rPr>
        <w:t>,</w:t>
      </w:r>
      <w:r w:rsidR="00A177AB">
        <w:rPr>
          <w:rFonts w:ascii="Arial" w:hAnsi="Arial" w:cs="Arial"/>
        </w:rPr>
        <w:t xml:space="preserve"> de forma sucinta, o entendimento proferido pelo Conselheiro Paulo Furquim a respeito </w:t>
      </w:r>
      <w:r w:rsidR="0072296C">
        <w:rPr>
          <w:rFonts w:ascii="Arial" w:hAnsi="Arial" w:cs="Arial"/>
        </w:rPr>
        <w:t>da “concentração na distribuição de combustíveis líquidos e incentivos para fechamento de mercado”.</w:t>
      </w:r>
    </w:p>
    <w:p w:rsidR="0072296C" w:rsidRDefault="0072296C" w:rsidP="00E75AEA">
      <w:pPr>
        <w:ind w:firstLine="708"/>
        <w:jc w:val="both"/>
        <w:rPr>
          <w:rFonts w:ascii="Arial" w:hAnsi="Arial" w:cs="Arial"/>
        </w:rPr>
      </w:pPr>
    </w:p>
    <w:p w:rsidR="006B3495" w:rsidRDefault="00D32F13" w:rsidP="00E75AEA">
      <w:pPr>
        <w:ind w:firstLine="708"/>
        <w:jc w:val="both"/>
        <w:rPr>
          <w:rFonts w:ascii="Arial" w:hAnsi="Arial" w:cs="Arial"/>
        </w:rPr>
      </w:pPr>
      <w:r>
        <w:rPr>
          <w:rFonts w:ascii="Arial" w:hAnsi="Arial" w:cs="Arial"/>
        </w:rPr>
        <w:t xml:space="preserve">Nesse sentido, </w:t>
      </w:r>
      <w:r w:rsidR="00BC183B">
        <w:rPr>
          <w:rFonts w:ascii="Arial" w:hAnsi="Arial" w:cs="Arial"/>
        </w:rPr>
        <w:t xml:space="preserve">o Conselheiro Furquim </w:t>
      </w:r>
      <w:r>
        <w:rPr>
          <w:rFonts w:ascii="Arial" w:hAnsi="Arial" w:cs="Arial"/>
        </w:rPr>
        <w:t>destaca que</w:t>
      </w:r>
      <w:r w:rsidR="006B3495">
        <w:rPr>
          <w:rFonts w:ascii="Arial" w:hAnsi="Arial" w:cs="Arial"/>
        </w:rPr>
        <w:t>:</w:t>
      </w:r>
    </w:p>
    <w:p w:rsidR="006B3495" w:rsidRPr="006B3495" w:rsidRDefault="006B3495" w:rsidP="00E75AEA">
      <w:pPr>
        <w:ind w:firstLine="708"/>
        <w:jc w:val="both"/>
        <w:rPr>
          <w:rFonts w:ascii="Arial" w:hAnsi="Arial" w:cs="Arial"/>
          <w:sz w:val="20"/>
          <w:szCs w:val="20"/>
        </w:rPr>
      </w:pPr>
    </w:p>
    <w:p w:rsidR="006B3495" w:rsidRDefault="00D32F13" w:rsidP="006B3495">
      <w:pPr>
        <w:ind w:left="1416"/>
        <w:jc w:val="both"/>
        <w:rPr>
          <w:rFonts w:ascii="Arial" w:hAnsi="Arial" w:cs="Arial"/>
          <w:b/>
          <w:i/>
          <w:sz w:val="20"/>
          <w:szCs w:val="20"/>
        </w:rPr>
      </w:pPr>
      <w:r w:rsidRPr="006B3495">
        <w:rPr>
          <w:rFonts w:ascii="Arial" w:hAnsi="Arial" w:cs="Arial"/>
          <w:sz w:val="20"/>
          <w:szCs w:val="20"/>
        </w:rPr>
        <w:t>“</w:t>
      </w:r>
      <w:r w:rsidR="006B3495">
        <w:rPr>
          <w:rFonts w:ascii="Arial" w:hAnsi="Arial" w:cs="Arial"/>
          <w:i/>
          <w:sz w:val="20"/>
          <w:szCs w:val="20"/>
        </w:rPr>
        <w:t>E</w:t>
      </w:r>
      <w:r w:rsidRPr="006B3495">
        <w:rPr>
          <w:rFonts w:ascii="Arial" w:hAnsi="Arial" w:cs="Arial"/>
          <w:i/>
          <w:sz w:val="20"/>
          <w:szCs w:val="20"/>
        </w:rPr>
        <w:t xml:space="preserve">mbora as barreiras à entrada de diferenciação e de vantagens absolutas de custos sejam irrelevantes e as escalas de operação neste setor sejam, em termos absolutos, pequenas, </w:t>
      </w:r>
      <w:r w:rsidRPr="006B3495">
        <w:rPr>
          <w:rFonts w:ascii="Arial" w:hAnsi="Arial" w:cs="Arial"/>
          <w:b/>
          <w:i/>
          <w:sz w:val="20"/>
          <w:szCs w:val="20"/>
        </w:rPr>
        <w:t>há casos em que os mercados relevantes são pequenos suficientes para tornar a escala mínima viável grande em relação ao mercado</w:t>
      </w:r>
      <w:r w:rsidR="00BF7818" w:rsidRPr="006B3495">
        <w:rPr>
          <w:rFonts w:ascii="Arial" w:hAnsi="Arial" w:cs="Arial"/>
          <w:i/>
          <w:sz w:val="20"/>
          <w:szCs w:val="20"/>
        </w:rPr>
        <w:t xml:space="preserve">. Como consequência, nesses mercados </w:t>
      </w:r>
      <w:r w:rsidR="00BF7818" w:rsidRPr="006B3495">
        <w:rPr>
          <w:rFonts w:ascii="Arial" w:hAnsi="Arial" w:cs="Arial"/>
          <w:b/>
          <w:i/>
          <w:sz w:val="20"/>
          <w:szCs w:val="20"/>
        </w:rPr>
        <w:t>a entrada de novos postos combustíveis é improvável</w:t>
      </w:r>
      <w:r w:rsidR="00BF7818" w:rsidRPr="006B3495">
        <w:rPr>
          <w:rFonts w:ascii="Arial" w:hAnsi="Arial" w:cs="Arial"/>
          <w:i/>
          <w:sz w:val="20"/>
          <w:szCs w:val="20"/>
        </w:rPr>
        <w:t xml:space="preserve">, o que abre espaço para eventual </w:t>
      </w:r>
      <w:r w:rsidR="00BF7818" w:rsidRPr="006B3495">
        <w:rPr>
          <w:rFonts w:ascii="Arial" w:hAnsi="Arial" w:cs="Arial"/>
          <w:b/>
          <w:i/>
          <w:sz w:val="20"/>
          <w:szCs w:val="20"/>
        </w:rPr>
        <w:t>abuso de poder econômico</w:t>
      </w:r>
    </w:p>
    <w:p w:rsidR="006B3495" w:rsidRPr="0041752E" w:rsidRDefault="006B3495" w:rsidP="006B3495">
      <w:pPr>
        <w:ind w:left="1416"/>
        <w:jc w:val="both"/>
        <w:rPr>
          <w:rFonts w:ascii="Arial" w:hAnsi="Arial" w:cs="Arial"/>
          <w:i/>
          <w:sz w:val="20"/>
          <w:szCs w:val="20"/>
        </w:rPr>
      </w:pPr>
    </w:p>
    <w:p w:rsidR="001F2D6C" w:rsidRDefault="006B3495" w:rsidP="006B3495">
      <w:pPr>
        <w:ind w:left="1416"/>
        <w:jc w:val="both"/>
        <w:rPr>
          <w:rFonts w:ascii="Arial" w:hAnsi="Arial" w:cs="Arial"/>
          <w:i/>
          <w:sz w:val="20"/>
          <w:szCs w:val="20"/>
        </w:rPr>
      </w:pPr>
      <w:r w:rsidRPr="0041752E">
        <w:rPr>
          <w:rFonts w:ascii="Arial" w:hAnsi="Arial" w:cs="Arial"/>
          <w:i/>
          <w:sz w:val="20"/>
          <w:szCs w:val="20"/>
        </w:rPr>
        <w:t xml:space="preserve">Nesses </w:t>
      </w:r>
      <w:r w:rsidRPr="00157F57">
        <w:rPr>
          <w:rFonts w:ascii="Arial" w:hAnsi="Arial" w:cs="Arial"/>
          <w:b/>
          <w:i/>
          <w:sz w:val="20"/>
          <w:szCs w:val="20"/>
        </w:rPr>
        <w:t>mercados de pequeno porte</w:t>
      </w:r>
      <w:r w:rsidRPr="0041752E">
        <w:rPr>
          <w:rFonts w:ascii="Arial" w:hAnsi="Arial" w:cs="Arial"/>
          <w:i/>
          <w:sz w:val="20"/>
          <w:szCs w:val="20"/>
        </w:rPr>
        <w:t xml:space="preserve"> – compostos em geral, por pequenos municípios – também a </w:t>
      </w:r>
      <w:r w:rsidRPr="00157F57">
        <w:rPr>
          <w:rFonts w:ascii="Arial" w:hAnsi="Arial" w:cs="Arial"/>
          <w:b/>
          <w:i/>
          <w:sz w:val="20"/>
          <w:szCs w:val="20"/>
        </w:rPr>
        <w:t>rivalidade entre postos de combustíveis é menos</w:t>
      </w:r>
      <w:r w:rsidR="00157F57" w:rsidRPr="00157F57">
        <w:rPr>
          <w:rFonts w:ascii="Arial" w:hAnsi="Arial" w:cs="Arial"/>
          <w:b/>
          <w:i/>
          <w:sz w:val="20"/>
          <w:szCs w:val="20"/>
        </w:rPr>
        <w:t xml:space="preserve"> intensa</w:t>
      </w:r>
      <w:r>
        <w:rPr>
          <w:rFonts w:ascii="Arial" w:hAnsi="Arial" w:cs="Arial"/>
          <w:sz w:val="20"/>
          <w:szCs w:val="20"/>
        </w:rPr>
        <w:t xml:space="preserve"> </w:t>
      </w:r>
      <w:r w:rsidR="00157F57">
        <w:rPr>
          <w:rFonts w:ascii="Arial" w:hAnsi="Arial" w:cs="Arial"/>
          <w:i/>
          <w:sz w:val="20"/>
          <w:szCs w:val="20"/>
        </w:rPr>
        <w:t xml:space="preserve">que em regiões de maior densidade populacional, seja pelo menor número de participantes, seja pelas condições mais favoráveis de coordenação. Por esse motivo, </w:t>
      </w:r>
      <w:r w:rsidR="00157F57" w:rsidRPr="001F2D6C">
        <w:rPr>
          <w:rFonts w:ascii="Arial" w:hAnsi="Arial" w:cs="Arial"/>
          <w:b/>
          <w:i/>
          <w:sz w:val="20"/>
          <w:szCs w:val="20"/>
        </w:rPr>
        <w:t>o padrão de concorrência em postos de comb</w:t>
      </w:r>
      <w:r w:rsidR="001F2D6C" w:rsidRPr="001F2D6C">
        <w:rPr>
          <w:rFonts w:ascii="Arial" w:hAnsi="Arial" w:cs="Arial"/>
          <w:b/>
          <w:i/>
          <w:sz w:val="20"/>
          <w:szCs w:val="20"/>
        </w:rPr>
        <w:t xml:space="preserve">ustível </w:t>
      </w:r>
      <w:r w:rsidR="001F2D6C">
        <w:rPr>
          <w:rFonts w:ascii="Arial" w:hAnsi="Arial" w:cs="Arial"/>
          <w:b/>
          <w:i/>
          <w:sz w:val="20"/>
          <w:szCs w:val="20"/>
        </w:rPr>
        <w:t>difere substancialmente a depender do tamanho do município</w:t>
      </w:r>
      <w:r w:rsidR="001F2D6C">
        <w:rPr>
          <w:rFonts w:ascii="Arial" w:hAnsi="Arial" w:cs="Arial"/>
          <w:i/>
          <w:sz w:val="20"/>
          <w:szCs w:val="20"/>
        </w:rPr>
        <w:t>.</w:t>
      </w:r>
    </w:p>
    <w:p w:rsidR="001F2D6C" w:rsidRPr="001F2D6C" w:rsidRDefault="001F2D6C" w:rsidP="006B3495">
      <w:pPr>
        <w:ind w:left="1416"/>
        <w:jc w:val="both"/>
        <w:rPr>
          <w:rFonts w:ascii="Arial" w:hAnsi="Arial" w:cs="Arial"/>
          <w:i/>
          <w:sz w:val="20"/>
          <w:szCs w:val="20"/>
        </w:rPr>
      </w:pPr>
    </w:p>
    <w:p w:rsidR="00D90806" w:rsidRDefault="001F2D6C" w:rsidP="006B3495">
      <w:pPr>
        <w:ind w:left="1416"/>
        <w:jc w:val="both"/>
        <w:rPr>
          <w:rFonts w:ascii="Arial" w:hAnsi="Arial" w:cs="Arial"/>
          <w:i/>
          <w:sz w:val="20"/>
          <w:szCs w:val="20"/>
        </w:rPr>
      </w:pPr>
      <w:r w:rsidRPr="001F2D6C">
        <w:rPr>
          <w:rFonts w:ascii="Arial" w:hAnsi="Arial" w:cs="Arial"/>
          <w:i/>
          <w:sz w:val="20"/>
          <w:szCs w:val="20"/>
        </w:rPr>
        <w:t>Des</w:t>
      </w:r>
      <w:r>
        <w:rPr>
          <w:rFonts w:ascii="Arial" w:hAnsi="Arial" w:cs="Arial"/>
          <w:i/>
          <w:sz w:val="20"/>
          <w:szCs w:val="20"/>
        </w:rPr>
        <w:t>taca-se, finalmente, que o eventual abuso de poder</w:t>
      </w:r>
      <w:r w:rsidR="00F01D38">
        <w:rPr>
          <w:rFonts w:ascii="Arial" w:hAnsi="Arial" w:cs="Arial"/>
          <w:i/>
          <w:sz w:val="20"/>
          <w:szCs w:val="20"/>
        </w:rPr>
        <w:t xml:space="preserve"> de mercado observa-se independentemente da presença de restrições verticais na contratação entre distribuidores e postos de revenda. Mesmo considerando que os postos de uma mesma revendedora ajam de modo autônomo – o que acarreta concorrência intra-marca – a </w:t>
      </w:r>
      <w:r w:rsidR="00F01D38" w:rsidRPr="00A828BA">
        <w:rPr>
          <w:rFonts w:ascii="Arial" w:hAnsi="Arial" w:cs="Arial"/>
          <w:b/>
          <w:i/>
          <w:sz w:val="20"/>
          <w:szCs w:val="20"/>
          <w:u w:val="single"/>
        </w:rPr>
        <w:t>concentração na distribuição</w:t>
      </w:r>
      <w:r w:rsidR="00F01D38">
        <w:rPr>
          <w:rFonts w:ascii="Arial" w:hAnsi="Arial" w:cs="Arial"/>
          <w:b/>
          <w:i/>
          <w:sz w:val="20"/>
          <w:szCs w:val="20"/>
        </w:rPr>
        <w:t xml:space="preserve"> cria as condições para o </w:t>
      </w:r>
      <w:r w:rsidR="00F01D38">
        <w:rPr>
          <w:rFonts w:ascii="Arial" w:hAnsi="Arial" w:cs="Arial"/>
          <w:b/>
          <w:i/>
          <w:sz w:val="20"/>
          <w:szCs w:val="20"/>
          <w:u w:val="single"/>
        </w:rPr>
        <w:t>abuso de poder sobre revendedores</w:t>
      </w:r>
      <w:r w:rsidR="00D90806">
        <w:rPr>
          <w:rFonts w:ascii="Arial" w:hAnsi="Arial" w:cs="Arial"/>
          <w:b/>
          <w:i/>
          <w:sz w:val="20"/>
          <w:szCs w:val="20"/>
        </w:rPr>
        <w:t xml:space="preserve">, em um primeiro momento, e </w:t>
      </w:r>
      <w:r w:rsidR="00D90806" w:rsidRPr="00A828BA">
        <w:rPr>
          <w:rFonts w:ascii="Arial" w:hAnsi="Arial" w:cs="Arial"/>
          <w:b/>
          <w:i/>
          <w:sz w:val="20"/>
          <w:szCs w:val="20"/>
          <w:u w:val="single"/>
        </w:rPr>
        <w:t>consumidores finais</w:t>
      </w:r>
      <w:r w:rsidR="00D90806">
        <w:rPr>
          <w:rFonts w:ascii="Arial" w:hAnsi="Arial" w:cs="Arial"/>
          <w:b/>
          <w:i/>
          <w:sz w:val="20"/>
          <w:szCs w:val="20"/>
        </w:rPr>
        <w:t>, subsequentemente</w:t>
      </w:r>
      <w:r w:rsidR="00D90806">
        <w:rPr>
          <w:rFonts w:ascii="Arial" w:hAnsi="Arial" w:cs="Arial"/>
          <w:i/>
          <w:sz w:val="20"/>
          <w:szCs w:val="20"/>
        </w:rPr>
        <w:t>.</w:t>
      </w:r>
    </w:p>
    <w:p w:rsidR="00D90806" w:rsidRDefault="00D90806" w:rsidP="006B3495">
      <w:pPr>
        <w:ind w:left="1416"/>
        <w:jc w:val="both"/>
        <w:rPr>
          <w:rFonts w:ascii="Arial" w:hAnsi="Arial" w:cs="Arial"/>
          <w:sz w:val="20"/>
          <w:szCs w:val="20"/>
        </w:rPr>
      </w:pPr>
    </w:p>
    <w:p w:rsidR="00BF7818" w:rsidRPr="006B3495" w:rsidRDefault="00D90806" w:rsidP="006B3495">
      <w:pPr>
        <w:ind w:left="1416"/>
        <w:jc w:val="both"/>
        <w:rPr>
          <w:rFonts w:ascii="Arial" w:hAnsi="Arial" w:cs="Arial"/>
          <w:sz w:val="20"/>
          <w:szCs w:val="20"/>
        </w:rPr>
      </w:pPr>
      <w:r w:rsidRPr="00D90806">
        <w:rPr>
          <w:rFonts w:ascii="Arial" w:hAnsi="Arial" w:cs="Arial"/>
          <w:b/>
          <w:i/>
          <w:sz w:val="20"/>
          <w:szCs w:val="20"/>
        </w:rPr>
        <w:t xml:space="preserve">Se revendedores gozassem de </w:t>
      </w:r>
      <w:r w:rsidRPr="00D90806">
        <w:rPr>
          <w:rFonts w:ascii="Arial" w:hAnsi="Arial" w:cs="Arial"/>
          <w:b/>
          <w:i/>
          <w:sz w:val="20"/>
          <w:szCs w:val="20"/>
          <w:u w:val="single"/>
        </w:rPr>
        <w:t>plena liberdade para contratar distribuidores</w:t>
      </w:r>
      <w:r>
        <w:rPr>
          <w:rFonts w:ascii="Arial" w:hAnsi="Arial" w:cs="Arial"/>
          <w:b/>
          <w:i/>
          <w:sz w:val="20"/>
          <w:szCs w:val="20"/>
        </w:rPr>
        <w:t xml:space="preserve"> </w:t>
      </w:r>
      <w:r w:rsidR="000B018D">
        <w:rPr>
          <w:rFonts w:ascii="Arial" w:hAnsi="Arial" w:cs="Arial"/>
          <w:i/>
          <w:sz w:val="20"/>
          <w:szCs w:val="20"/>
        </w:rPr>
        <w:t>seria pertinente redefinir o mercado relevante em sua dimensão geográfica, visto que os primeiros poderiam ter acesso a distribuidores localizados a um raio mais abrangente que o mercado relevante dos postos de combustível</w:t>
      </w:r>
      <w:r w:rsidR="00113A23">
        <w:rPr>
          <w:rFonts w:ascii="Arial" w:hAnsi="Arial" w:cs="Arial"/>
          <w:i/>
          <w:sz w:val="20"/>
          <w:szCs w:val="20"/>
        </w:rPr>
        <w:t xml:space="preserve">, delimitado pelas fronteiras municipais. Entretanto, </w:t>
      </w:r>
      <w:r w:rsidR="00113A23">
        <w:rPr>
          <w:rFonts w:ascii="Arial" w:hAnsi="Arial" w:cs="Arial"/>
          <w:b/>
          <w:i/>
          <w:sz w:val="20"/>
          <w:szCs w:val="20"/>
          <w:u w:val="single"/>
        </w:rPr>
        <w:t>há contratos de longo prazo entre distribuidora e revendedores, acarretando em custos de mudança</w:t>
      </w:r>
      <w:r w:rsidR="00113A23" w:rsidRPr="00A828BA">
        <w:rPr>
          <w:rFonts w:ascii="Arial" w:hAnsi="Arial" w:cs="Arial"/>
          <w:b/>
          <w:i/>
          <w:sz w:val="20"/>
          <w:szCs w:val="20"/>
        </w:rPr>
        <w:t xml:space="preserve"> </w:t>
      </w:r>
      <w:r w:rsidR="00113A23" w:rsidRPr="00113A23">
        <w:rPr>
          <w:rFonts w:ascii="Arial" w:hAnsi="Arial" w:cs="Arial"/>
          <w:b/>
          <w:i/>
          <w:sz w:val="20"/>
          <w:szCs w:val="20"/>
        </w:rPr>
        <w:t xml:space="preserve">e, portanto, </w:t>
      </w:r>
      <w:r w:rsidR="0092456B">
        <w:rPr>
          <w:rFonts w:ascii="Arial" w:hAnsi="Arial" w:cs="Arial"/>
          <w:b/>
          <w:i/>
          <w:sz w:val="20"/>
          <w:szCs w:val="20"/>
        </w:rPr>
        <w:t xml:space="preserve">possibilidade de </w:t>
      </w:r>
      <w:r w:rsidR="0092456B" w:rsidRPr="00A828BA">
        <w:rPr>
          <w:rFonts w:ascii="Arial" w:hAnsi="Arial" w:cs="Arial"/>
          <w:b/>
          <w:i/>
          <w:sz w:val="20"/>
          <w:szCs w:val="20"/>
          <w:u w:val="single"/>
        </w:rPr>
        <w:t>abuso de poder econômico</w:t>
      </w:r>
      <w:r w:rsidR="0092456B">
        <w:rPr>
          <w:rFonts w:ascii="Arial" w:hAnsi="Arial" w:cs="Arial"/>
          <w:i/>
          <w:sz w:val="20"/>
          <w:szCs w:val="20"/>
        </w:rPr>
        <w:t xml:space="preserve">. Consequentemente, a concentração na distribuição de combustíveis líquidos pode implicar a </w:t>
      </w:r>
      <w:r w:rsidR="0092456B" w:rsidRPr="00A828BA">
        <w:rPr>
          <w:rFonts w:ascii="Arial" w:hAnsi="Arial" w:cs="Arial"/>
          <w:b/>
          <w:i/>
          <w:sz w:val="20"/>
          <w:szCs w:val="20"/>
          <w:u w:val="single"/>
        </w:rPr>
        <w:t>redução da concorrência</w:t>
      </w:r>
      <w:r w:rsidR="0092456B">
        <w:rPr>
          <w:rFonts w:ascii="Arial" w:hAnsi="Arial" w:cs="Arial"/>
          <w:b/>
          <w:i/>
          <w:sz w:val="20"/>
          <w:szCs w:val="20"/>
        </w:rPr>
        <w:t xml:space="preserve"> em alguns mercados relevantes, bem como </w:t>
      </w:r>
      <w:r w:rsidR="0092456B">
        <w:rPr>
          <w:rFonts w:ascii="Arial" w:hAnsi="Arial" w:cs="Arial"/>
          <w:b/>
          <w:i/>
          <w:sz w:val="20"/>
          <w:szCs w:val="20"/>
          <w:u w:val="single"/>
        </w:rPr>
        <w:t>todos os custos sociais a ela associados</w:t>
      </w:r>
      <w:r w:rsidR="00BF7818" w:rsidRPr="006B3495">
        <w:rPr>
          <w:rFonts w:ascii="Arial" w:hAnsi="Arial" w:cs="Arial"/>
          <w:sz w:val="20"/>
          <w:szCs w:val="20"/>
        </w:rPr>
        <w:t>”. (Destacamos)</w:t>
      </w:r>
    </w:p>
    <w:p w:rsidR="00BF7818" w:rsidRDefault="00BF7818" w:rsidP="00E75AEA">
      <w:pPr>
        <w:ind w:firstLine="708"/>
        <w:jc w:val="both"/>
        <w:rPr>
          <w:rFonts w:ascii="Arial" w:hAnsi="Arial" w:cs="Arial"/>
        </w:rPr>
      </w:pPr>
    </w:p>
    <w:p w:rsidR="00AE48ED" w:rsidRDefault="0077629D" w:rsidP="00E75AEA">
      <w:pPr>
        <w:ind w:firstLine="708"/>
        <w:jc w:val="both"/>
        <w:rPr>
          <w:rFonts w:ascii="Arial" w:hAnsi="Arial" w:cs="Arial"/>
        </w:rPr>
      </w:pPr>
      <w:r>
        <w:rPr>
          <w:rFonts w:ascii="Arial" w:hAnsi="Arial" w:cs="Arial"/>
        </w:rPr>
        <w:t xml:space="preserve"> </w:t>
      </w:r>
      <w:r w:rsidR="00AE0553">
        <w:rPr>
          <w:rFonts w:ascii="Arial" w:hAnsi="Arial" w:cs="Arial"/>
        </w:rPr>
        <w:t xml:space="preserve">Pelo exposto até o momento, constata-se uma grande preocupação do CADE sobre os efeitos anticompetitivos da </w:t>
      </w:r>
      <w:r w:rsidR="002A25E3">
        <w:rPr>
          <w:rFonts w:ascii="Arial" w:hAnsi="Arial" w:cs="Arial"/>
        </w:rPr>
        <w:t>integra</w:t>
      </w:r>
      <w:r w:rsidR="00AE0553">
        <w:rPr>
          <w:rFonts w:ascii="Arial" w:hAnsi="Arial" w:cs="Arial"/>
        </w:rPr>
        <w:t>ção</w:t>
      </w:r>
      <w:r w:rsidR="002A25E3">
        <w:rPr>
          <w:rFonts w:ascii="Arial" w:hAnsi="Arial" w:cs="Arial"/>
        </w:rPr>
        <w:t xml:space="preserve"> vertical</w:t>
      </w:r>
      <w:r w:rsidR="00AE0553">
        <w:rPr>
          <w:rFonts w:ascii="Arial" w:hAnsi="Arial" w:cs="Arial"/>
        </w:rPr>
        <w:t xml:space="preserve"> </w:t>
      </w:r>
      <w:r w:rsidR="00AE0553">
        <w:rPr>
          <w:rFonts w:ascii="Arial" w:hAnsi="Arial" w:cs="Arial"/>
          <w:i/>
        </w:rPr>
        <w:t>de facto</w:t>
      </w:r>
      <w:r w:rsidR="00023BD9">
        <w:rPr>
          <w:rFonts w:ascii="Arial" w:hAnsi="Arial" w:cs="Arial"/>
        </w:rPr>
        <w:t>,</w:t>
      </w:r>
      <w:r w:rsidR="002A25E3">
        <w:rPr>
          <w:rFonts w:ascii="Arial" w:hAnsi="Arial" w:cs="Arial"/>
          <w:i/>
        </w:rPr>
        <w:t xml:space="preserve"> </w:t>
      </w:r>
      <w:r w:rsidR="002A25E3">
        <w:rPr>
          <w:rFonts w:ascii="Arial" w:hAnsi="Arial" w:cs="Arial"/>
        </w:rPr>
        <w:t xml:space="preserve">existente entre distribuidora e revendedores </w:t>
      </w:r>
      <w:r w:rsidR="00023BD9">
        <w:rPr>
          <w:rFonts w:ascii="Arial" w:hAnsi="Arial" w:cs="Arial"/>
        </w:rPr>
        <w:t xml:space="preserve">e </w:t>
      </w:r>
      <w:r w:rsidR="002A25E3">
        <w:rPr>
          <w:rFonts w:ascii="Arial" w:hAnsi="Arial" w:cs="Arial"/>
        </w:rPr>
        <w:t>representada pelos diferentes tipos e formas de contratos de exclusividade estabelecidos</w:t>
      </w:r>
      <w:r w:rsidR="00023BD9">
        <w:rPr>
          <w:rFonts w:ascii="Arial" w:hAnsi="Arial" w:cs="Arial"/>
        </w:rPr>
        <w:t xml:space="preserve"> nesta relação</w:t>
      </w:r>
      <w:r w:rsidR="002A25E3">
        <w:rPr>
          <w:rFonts w:ascii="Arial" w:hAnsi="Arial" w:cs="Arial"/>
        </w:rPr>
        <w:t>. Além disso, o CADE tem expressamente indicado em seus votos</w:t>
      </w:r>
      <w:r w:rsidR="00023BD9">
        <w:rPr>
          <w:rFonts w:ascii="Arial" w:hAnsi="Arial" w:cs="Arial"/>
        </w:rPr>
        <w:t>,</w:t>
      </w:r>
      <w:r w:rsidR="002A25E3">
        <w:rPr>
          <w:rFonts w:ascii="Arial" w:hAnsi="Arial" w:cs="Arial"/>
        </w:rPr>
        <w:t xml:space="preserve"> </w:t>
      </w:r>
      <w:r w:rsidR="00477C2A">
        <w:rPr>
          <w:rFonts w:ascii="Arial" w:hAnsi="Arial" w:cs="Arial"/>
        </w:rPr>
        <w:t>as cláusulas e condições contratuais que geram tais efeitos anticompetitivos, sugerind</w:t>
      </w:r>
      <w:r w:rsidR="00BB543D">
        <w:rPr>
          <w:rFonts w:ascii="Arial" w:hAnsi="Arial" w:cs="Arial"/>
        </w:rPr>
        <w:t>o não somente</w:t>
      </w:r>
      <w:r w:rsidR="00477C2A">
        <w:rPr>
          <w:rFonts w:ascii="Arial" w:hAnsi="Arial" w:cs="Arial"/>
        </w:rPr>
        <w:t xml:space="preserve"> uma análise mais atenta por parte d</w:t>
      </w:r>
      <w:r w:rsidR="00BB543D">
        <w:rPr>
          <w:rFonts w:ascii="Arial" w:hAnsi="Arial" w:cs="Arial"/>
        </w:rPr>
        <w:t>est</w:t>
      </w:r>
      <w:r w:rsidR="00477C2A">
        <w:rPr>
          <w:rFonts w:ascii="Arial" w:hAnsi="Arial" w:cs="Arial"/>
        </w:rPr>
        <w:t xml:space="preserve">a </w:t>
      </w:r>
      <w:r w:rsidR="00BB543D">
        <w:rPr>
          <w:rFonts w:ascii="Arial" w:hAnsi="Arial" w:cs="Arial"/>
        </w:rPr>
        <w:t xml:space="preserve">i. </w:t>
      </w:r>
      <w:r w:rsidR="00477C2A">
        <w:rPr>
          <w:rFonts w:ascii="Arial" w:hAnsi="Arial" w:cs="Arial"/>
        </w:rPr>
        <w:t>ANP</w:t>
      </w:r>
      <w:r w:rsidR="00BB543D">
        <w:rPr>
          <w:rFonts w:ascii="Arial" w:hAnsi="Arial" w:cs="Arial"/>
        </w:rPr>
        <w:t xml:space="preserve"> para tais cláusulas e seus efeitos, como, ainda, a possibilidade de, após tal análise, serem definidas regras regulatórias mitigadoras </w:t>
      </w:r>
      <w:r w:rsidR="00AE48ED">
        <w:rPr>
          <w:rFonts w:ascii="Arial" w:hAnsi="Arial" w:cs="Arial"/>
        </w:rPr>
        <w:t>d</w:t>
      </w:r>
      <w:r w:rsidR="00BC183B">
        <w:rPr>
          <w:rFonts w:ascii="Arial" w:hAnsi="Arial" w:cs="Arial"/>
        </w:rPr>
        <w:t>esses</w:t>
      </w:r>
      <w:r w:rsidR="00AE48ED">
        <w:rPr>
          <w:rFonts w:ascii="Arial" w:hAnsi="Arial" w:cs="Arial"/>
        </w:rPr>
        <w:t xml:space="preserve"> efeitos, assim como existe em outras jurisdições.</w:t>
      </w:r>
    </w:p>
    <w:p w:rsidR="00AE48ED" w:rsidRDefault="00AE48ED" w:rsidP="00E75AEA">
      <w:pPr>
        <w:ind w:firstLine="708"/>
        <w:jc w:val="both"/>
        <w:rPr>
          <w:rFonts w:ascii="Arial" w:hAnsi="Arial" w:cs="Arial"/>
        </w:rPr>
      </w:pPr>
    </w:p>
    <w:p w:rsidR="00765904" w:rsidRDefault="00AE48ED" w:rsidP="00E75AEA">
      <w:pPr>
        <w:ind w:firstLine="708"/>
        <w:jc w:val="both"/>
        <w:rPr>
          <w:rFonts w:ascii="Arial" w:hAnsi="Arial" w:cs="Arial"/>
        </w:rPr>
      </w:pPr>
      <w:r>
        <w:rPr>
          <w:rFonts w:ascii="Arial" w:hAnsi="Arial" w:cs="Arial"/>
        </w:rPr>
        <w:t xml:space="preserve">Para finalizar este tópico é ainda relevante </w:t>
      </w:r>
      <w:r w:rsidR="00744950">
        <w:rPr>
          <w:rFonts w:ascii="Arial" w:hAnsi="Arial" w:cs="Arial"/>
        </w:rPr>
        <w:t xml:space="preserve">avaliar </w:t>
      </w:r>
      <w:r w:rsidR="008A1B39">
        <w:rPr>
          <w:rFonts w:ascii="Arial" w:hAnsi="Arial" w:cs="Arial"/>
        </w:rPr>
        <w:t xml:space="preserve">as preocupações levantadas pelo </w:t>
      </w:r>
      <w:r>
        <w:rPr>
          <w:rFonts w:ascii="Arial" w:hAnsi="Arial" w:cs="Arial"/>
        </w:rPr>
        <w:t xml:space="preserve">CADE </w:t>
      </w:r>
      <w:r w:rsidR="008A1B39">
        <w:rPr>
          <w:rFonts w:ascii="Arial" w:hAnsi="Arial" w:cs="Arial"/>
        </w:rPr>
        <w:t>ao rejeitar a aquisição da Alesat pela Ipiranga</w:t>
      </w:r>
      <w:r w:rsidR="00CB0ACE">
        <w:rPr>
          <w:rFonts w:ascii="Arial" w:hAnsi="Arial" w:cs="Arial"/>
        </w:rPr>
        <w:t xml:space="preserve">. Reitera-se, ainda, </w:t>
      </w:r>
      <w:r w:rsidR="008A1B39" w:rsidRPr="00CB0ACE">
        <w:rPr>
          <w:rFonts w:ascii="Arial" w:hAnsi="Arial" w:cs="Arial"/>
        </w:rPr>
        <w:t xml:space="preserve"> </w:t>
      </w:r>
      <w:r w:rsidR="00691015" w:rsidRPr="00CB0ACE">
        <w:rPr>
          <w:rFonts w:ascii="Arial" w:hAnsi="Arial" w:cs="Arial"/>
        </w:rPr>
        <w:t xml:space="preserve">as </w:t>
      </w:r>
      <w:r w:rsidR="008A1B39" w:rsidRPr="00CB0ACE">
        <w:rPr>
          <w:rFonts w:ascii="Arial" w:hAnsi="Arial" w:cs="Arial"/>
        </w:rPr>
        <w:t>recentes</w:t>
      </w:r>
      <w:r w:rsidR="00691015" w:rsidRPr="00CB0ACE">
        <w:rPr>
          <w:rFonts w:ascii="Arial" w:hAnsi="Arial" w:cs="Arial"/>
        </w:rPr>
        <w:t xml:space="preserve"> investigações de cartel instauradas pelo órgão </w:t>
      </w:r>
      <w:r w:rsidR="008A1B39" w:rsidRPr="00CB0ACE">
        <w:rPr>
          <w:rFonts w:ascii="Arial" w:hAnsi="Arial" w:cs="Arial"/>
        </w:rPr>
        <w:t xml:space="preserve">onde parece </w:t>
      </w:r>
      <w:r w:rsidR="00691015" w:rsidRPr="00CB0ACE">
        <w:rPr>
          <w:rFonts w:ascii="Arial" w:hAnsi="Arial" w:cs="Arial"/>
        </w:rPr>
        <w:t xml:space="preserve">haver fortes indícios do envolvimento das distribuidoras “dominantes” </w:t>
      </w:r>
      <w:r w:rsidR="00765904" w:rsidRPr="00CB0ACE">
        <w:rPr>
          <w:rFonts w:ascii="Arial" w:hAnsi="Arial" w:cs="Arial"/>
        </w:rPr>
        <w:t xml:space="preserve">em </w:t>
      </w:r>
      <w:r w:rsidR="00765904" w:rsidRPr="00CB0ACE">
        <w:rPr>
          <w:rFonts w:ascii="Arial" w:hAnsi="Arial" w:cs="Arial"/>
        </w:rPr>
        <w:lastRenderedPageBreak/>
        <w:t>práticas de cartel no segmento de revenda</w:t>
      </w:r>
      <w:r w:rsidR="00765904" w:rsidRPr="00CB0ACE">
        <w:rPr>
          <w:rStyle w:val="Refdenotaderodap"/>
          <w:rFonts w:ascii="Arial" w:hAnsi="Arial" w:cs="Arial"/>
        </w:rPr>
        <w:footnoteReference w:id="41"/>
      </w:r>
      <w:r w:rsidR="00CB0ACE">
        <w:rPr>
          <w:rFonts w:ascii="Arial" w:hAnsi="Arial" w:cs="Arial"/>
        </w:rPr>
        <w:t>, bem como outros casos de cartel em que distribuidoras foram condenadas por auxiliar e incentivar práticas de cartel por seus revendedores bandeirados, conforme é também apontado no parecer da SG, reportado sucintamente a seguir</w:t>
      </w:r>
      <w:r w:rsidR="00765904" w:rsidRPr="00CB0ACE">
        <w:rPr>
          <w:rFonts w:ascii="Arial" w:hAnsi="Arial" w:cs="Arial"/>
        </w:rPr>
        <w:t>.</w:t>
      </w:r>
    </w:p>
    <w:p w:rsidR="00765904" w:rsidRDefault="00765904" w:rsidP="00E75AEA">
      <w:pPr>
        <w:ind w:firstLine="708"/>
        <w:jc w:val="both"/>
        <w:rPr>
          <w:rFonts w:ascii="Arial" w:hAnsi="Arial" w:cs="Arial"/>
        </w:rPr>
      </w:pPr>
    </w:p>
    <w:p w:rsidR="000D2A5D" w:rsidRDefault="008A1B39" w:rsidP="008A1B39">
      <w:pPr>
        <w:jc w:val="both"/>
        <w:rPr>
          <w:rFonts w:ascii="Arial" w:hAnsi="Arial" w:cs="Arial"/>
        </w:rPr>
      </w:pPr>
      <w:r>
        <w:rPr>
          <w:rFonts w:ascii="Arial" w:hAnsi="Arial" w:cs="Arial"/>
        </w:rPr>
        <w:tab/>
        <w:t xml:space="preserve">Na análise da operação envolvendo a aquisição da Alesat, a i. SG destaca em seu parecer </w:t>
      </w:r>
      <w:r w:rsidR="00BC183B">
        <w:rPr>
          <w:rFonts w:ascii="Arial" w:hAnsi="Arial" w:cs="Arial"/>
        </w:rPr>
        <w:t xml:space="preserve">reitera e ratifica o entendimento já esposado pelo CADE </w:t>
      </w:r>
      <w:r>
        <w:rPr>
          <w:rFonts w:ascii="Arial" w:hAnsi="Arial" w:cs="Arial"/>
        </w:rPr>
        <w:t xml:space="preserve">que a regra do embandeiramento e os contratos de exclusividade decorrentes desta determinam uma “verticalização </w:t>
      </w:r>
      <w:r>
        <w:rPr>
          <w:rFonts w:ascii="Arial" w:hAnsi="Arial" w:cs="Arial"/>
          <w:i/>
        </w:rPr>
        <w:t>de facto</w:t>
      </w:r>
      <w:r>
        <w:rPr>
          <w:rFonts w:ascii="Arial" w:hAnsi="Arial" w:cs="Arial"/>
        </w:rPr>
        <w:t>” entre a distribuidora e a revenda; opinião esta corroborado por esta própria ANP, segundo a SG</w:t>
      </w:r>
      <w:r>
        <w:rPr>
          <w:rStyle w:val="Refdenotaderodap"/>
          <w:rFonts w:ascii="Arial" w:hAnsi="Arial" w:cs="Arial"/>
        </w:rPr>
        <w:footnoteReference w:id="42"/>
      </w:r>
      <w:r w:rsidR="00BC183B">
        <w:rPr>
          <w:rFonts w:ascii="Arial" w:hAnsi="Arial" w:cs="Arial"/>
        </w:rPr>
        <w:t>.</w:t>
      </w:r>
      <w:r>
        <w:rPr>
          <w:rFonts w:ascii="Arial" w:hAnsi="Arial" w:cs="Arial"/>
        </w:rPr>
        <w:t xml:space="preserve"> Isso porque, explica </w:t>
      </w:r>
      <w:r w:rsidR="000D2A5D">
        <w:rPr>
          <w:rFonts w:ascii="Arial" w:hAnsi="Arial" w:cs="Arial"/>
        </w:rPr>
        <w:t>a SG, “</w:t>
      </w:r>
      <w:r w:rsidR="000D2A5D" w:rsidRPr="000D2A5D">
        <w:rPr>
          <w:rFonts w:ascii="Arial" w:hAnsi="Arial" w:cs="Arial"/>
          <w:i/>
        </w:rPr>
        <w:t xml:space="preserve">visto que a distribuidora costuma ser mais bem provida de capital financeiro e de capacidade de estoque, a </w:t>
      </w:r>
      <w:r w:rsidR="000D2A5D" w:rsidRPr="000D2A5D">
        <w:rPr>
          <w:rFonts w:ascii="Arial" w:hAnsi="Arial" w:cs="Arial"/>
          <w:b/>
          <w:i/>
        </w:rPr>
        <w:t>dependência do posto em relação ao preço do fornecimento confere à distribuidora um poder de barganha maior para exigir de seus bandeirados garantias mais elevadas de comprometimento em troca de alívio às pressões de preço e volume</w:t>
      </w:r>
      <w:r w:rsidR="000D2A5D">
        <w:rPr>
          <w:rFonts w:ascii="Arial" w:hAnsi="Arial" w:cs="Arial"/>
        </w:rPr>
        <w:t>”. (Destacamos)</w:t>
      </w:r>
    </w:p>
    <w:p w:rsidR="000D2A5D" w:rsidRDefault="000D2A5D" w:rsidP="008A1B39">
      <w:pPr>
        <w:jc w:val="both"/>
        <w:rPr>
          <w:rFonts w:ascii="Arial" w:hAnsi="Arial" w:cs="Arial"/>
        </w:rPr>
      </w:pPr>
    </w:p>
    <w:p w:rsidR="000D2A5D" w:rsidRDefault="000D2A5D" w:rsidP="008A1B39">
      <w:pPr>
        <w:jc w:val="both"/>
        <w:rPr>
          <w:rFonts w:ascii="Arial" w:hAnsi="Arial" w:cs="Arial"/>
        </w:rPr>
      </w:pPr>
      <w:r>
        <w:rPr>
          <w:rFonts w:ascii="Arial" w:hAnsi="Arial" w:cs="Arial"/>
        </w:rPr>
        <w:tab/>
        <w:t>Esta troca, ainda segundo a SG, viria a partir da exigência de “</w:t>
      </w:r>
      <w:r w:rsidRPr="000D2A5D">
        <w:rPr>
          <w:rFonts w:ascii="Arial" w:hAnsi="Arial" w:cs="Arial"/>
          <w:i/>
        </w:rPr>
        <w:t>cl</w:t>
      </w:r>
      <w:r w:rsidR="00BC183B">
        <w:rPr>
          <w:rFonts w:ascii="Arial" w:hAnsi="Arial" w:cs="Arial"/>
          <w:i/>
        </w:rPr>
        <w:t>á</w:t>
      </w:r>
      <w:r w:rsidRPr="000D2A5D">
        <w:rPr>
          <w:rFonts w:ascii="Arial" w:hAnsi="Arial" w:cs="Arial"/>
          <w:i/>
        </w:rPr>
        <w:t xml:space="preserve">usulas como a fidelização por </w:t>
      </w:r>
      <w:r w:rsidRPr="000D2A5D">
        <w:rPr>
          <w:rFonts w:ascii="Arial" w:hAnsi="Arial" w:cs="Arial"/>
          <w:b/>
          <w:i/>
        </w:rPr>
        <w:t xml:space="preserve">longos períodos de tempo </w:t>
      </w:r>
      <w:r w:rsidRPr="000D2A5D">
        <w:rPr>
          <w:rFonts w:ascii="Arial" w:hAnsi="Arial" w:cs="Arial"/>
          <w:i/>
        </w:rPr>
        <w:t xml:space="preserve">– estipulando-se contratos de bandeira de médio a longo prazo, com média de 4 a 5 anos, podendo chegar a até </w:t>
      </w:r>
      <w:r w:rsidRPr="00A828BA">
        <w:rPr>
          <w:rFonts w:ascii="Arial" w:hAnsi="Arial" w:cs="Arial"/>
          <w:b/>
          <w:i/>
          <w:u w:val="single"/>
        </w:rPr>
        <w:t>10 anos</w:t>
      </w:r>
      <w:r w:rsidRPr="000D2A5D">
        <w:rPr>
          <w:rFonts w:ascii="Arial" w:hAnsi="Arial" w:cs="Arial"/>
          <w:i/>
        </w:rPr>
        <w:t xml:space="preserve"> – e a </w:t>
      </w:r>
      <w:r w:rsidRPr="000D2A5D">
        <w:rPr>
          <w:rFonts w:ascii="Arial" w:hAnsi="Arial" w:cs="Arial"/>
          <w:b/>
          <w:i/>
        </w:rPr>
        <w:t>garantia de venda de um volume mínimo</w:t>
      </w:r>
      <w:r w:rsidRPr="000D2A5D">
        <w:rPr>
          <w:rFonts w:ascii="Arial" w:hAnsi="Arial" w:cs="Arial"/>
          <w:i/>
        </w:rPr>
        <w:t xml:space="preserve"> – o que aumenta ainda mais o </w:t>
      </w:r>
      <w:r w:rsidRPr="000D2A5D">
        <w:rPr>
          <w:rFonts w:ascii="Arial" w:hAnsi="Arial" w:cs="Arial"/>
          <w:b/>
          <w:i/>
        </w:rPr>
        <w:t>controle sobre os postos</w:t>
      </w:r>
      <w:r w:rsidRPr="000D2A5D">
        <w:rPr>
          <w:rFonts w:ascii="Arial" w:hAnsi="Arial" w:cs="Arial"/>
          <w:i/>
        </w:rPr>
        <w:t xml:space="preserve">, na medida em que estes se veem </w:t>
      </w:r>
      <w:r w:rsidRPr="000D2A5D">
        <w:rPr>
          <w:rFonts w:ascii="Arial" w:hAnsi="Arial" w:cs="Arial"/>
          <w:b/>
          <w:i/>
        </w:rPr>
        <w:t>compelidos a manter sempre um bom giro</w:t>
      </w:r>
      <w:r w:rsidRPr="000D2A5D">
        <w:rPr>
          <w:rFonts w:ascii="Arial" w:hAnsi="Arial" w:cs="Arial"/>
          <w:i/>
        </w:rPr>
        <w:t xml:space="preserve">, reforçando sua </w:t>
      </w:r>
      <w:r w:rsidRPr="000D2A5D">
        <w:rPr>
          <w:rFonts w:ascii="Arial" w:hAnsi="Arial" w:cs="Arial"/>
          <w:b/>
          <w:i/>
        </w:rPr>
        <w:t>dependência do preço negociado com a distribuidora</w:t>
      </w:r>
      <w:r w:rsidRPr="000D2A5D">
        <w:rPr>
          <w:rFonts w:ascii="Arial" w:hAnsi="Arial" w:cs="Arial"/>
          <w:i/>
        </w:rPr>
        <w:t xml:space="preserve">, que continua </w:t>
      </w:r>
      <w:r w:rsidRPr="000D2A5D">
        <w:rPr>
          <w:rFonts w:ascii="Arial" w:hAnsi="Arial" w:cs="Arial"/>
          <w:b/>
          <w:i/>
        </w:rPr>
        <w:t>livre</w:t>
      </w:r>
      <w:r w:rsidRPr="000D2A5D">
        <w:rPr>
          <w:rFonts w:ascii="Arial" w:hAnsi="Arial" w:cs="Arial"/>
        </w:rPr>
        <w:t>”</w:t>
      </w:r>
      <w:r>
        <w:rPr>
          <w:rFonts w:ascii="Arial" w:hAnsi="Arial" w:cs="Arial"/>
        </w:rPr>
        <w:t xml:space="preserve">. </w:t>
      </w:r>
      <w:r w:rsidR="008A1B39">
        <w:rPr>
          <w:rFonts w:ascii="Arial" w:hAnsi="Arial" w:cs="Arial"/>
        </w:rPr>
        <w:t xml:space="preserve"> </w:t>
      </w:r>
    </w:p>
    <w:p w:rsidR="000D2A5D" w:rsidRDefault="000D2A5D" w:rsidP="008A1B39">
      <w:pPr>
        <w:jc w:val="both"/>
        <w:rPr>
          <w:rFonts w:ascii="Arial" w:hAnsi="Arial" w:cs="Arial"/>
        </w:rPr>
      </w:pPr>
    </w:p>
    <w:p w:rsidR="000D2A5D" w:rsidRDefault="000D2A5D" w:rsidP="008A1B39">
      <w:pPr>
        <w:jc w:val="both"/>
        <w:rPr>
          <w:rFonts w:ascii="Arial" w:hAnsi="Arial" w:cs="Arial"/>
        </w:rPr>
      </w:pPr>
      <w:r>
        <w:rPr>
          <w:rFonts w:ascii="Arial" w:hAnsi="Arial" w:cs="Arial"/>
        </w:rPr>
        <w:tab/>
        <w:t xml:space="preserve">Em sua análise, a SG aponta </w:t>
      </w:r>
      <w:r w:rsidR="00BC183B">
        <w:rPr>
          <w:rFonts w:ascii="Arial" w:hAnsi="Arial" w:cs="Arial"/>
        </w:rPr>
        <w:t xml:space="preserve">também </w:t>
      </w:r>
      <w:r>
        <w:rPr>
          <w:rFonts w:ascii="Arial" w:hAnsi="Arial" w:cs="Arial"/>
        </w:rPr>
        <w:t>estudos que mostram que, embora os postos bandeira branca ofereçam preços mais baixos, o fator “reputação” é ainda preponderante junto aos consumidores</w:t>
      </w:r>
      <w:r w:rsidR="00BC183B">
        <w:rPr>
          <w:rFonts w:ascii="Arial" w:hAnsi="Arial" w:cs="Arial"/>
        </w:rPr>
        <w:t xml:space="preserve"> finais</w:t>
      </w:r>
      <w:r>
        <w:rPr>
          <w:rFonts w:ascii="Arial" w:hAnsi="Arial" w:cs="Arial"/>
        </w:rPr>
        <w:t xml:space="preserve">. Isso faz com que “as grandes distribuidoras levem significativa vantagem na preferência por marca, obtendo a confiança </w:t>
      </w:r>
      <w:r>
        <w:rPr>
          <w:rFonts w:ascii="Arial" w:hAnsi="Arial" w:cs="Arial"/>
          <w:b/>
        </w:rPr>
        <w:t>exclusiva</w:t>
      </w:r>
      <w:r>
        <w:rPr>
          <w:rFonts w:ascii="Arial" w:hAnsi="Arial" w:cs="Arial"/>
        </w:rPr>
        <w:t xml:space="preserve"> de quase 60% das pessoas clientes finais entrevistadas”. </w:t>
      </w:r>
    </w:p>
    <w:p w:rsidR="000D2A5D" w:rsidRDefault="000D2A5D" w:rsidP="008A1B39">
      <w:pPr>
        <w:jc w:val="both"/>
        <w:rPr>
          <w:rFonts w:ascii="Arial" w:hAnsi="Arial" w:cs="Arial"/>
        </w:rPr>
      </w:pPr>
    </w:p>
    <w:p w:rsidR="00537ECA" w:rsidRDefault="000D2A5D" w:rsidP="008A1B39">
      <w:pPr>
        <w:jc w:val="both"/>
        <w:rPr>
          <w:rFonts w:ascii="Arial" w:hAnsi="Arial" w:cs="Arial"/>
        </w:rPr>
      </w:pPr>
      <w:r>
        <w:rPr>
          <w:rFonts w:ascii="Arial" w:hAnsi="Arial" w:cs="Arial"/>
        </w:rPr>
        <w:tab/>
        <w:t xml:space="preserve">Nesse sentido, destaca observação </w:t>
      </w:r>
      <w:r w:rsidR="00BC183B">
        <w:rPr>
          <w:rFonts w:ascii="Arial" w:hAnsi="Arial" w:cs="Arial"/>
        </w:rPr>
        <w:t xml:space="preserve">feita por </w:t>
      </w:r>
      <w:r>
        <w:rPr>
          <w:rFonts w:ascii="Arial" w:hAnsi="Arial" w:cs="Arial"/>
        </w:rPr>
        <w:t>esta i. ANP de que “</w:t>
      </w:r>
      <w:r w:rsidRPr="000D2A5D">
        <w:rPr>
          <w:rFonts w:ascii="Arial" w:hAnsi="Arial" w:cs="Arial"/>
          <w:i/>
        </w:rPr>
        <w:t xml:space="preserve">competição na bandeira branca ocorre majoritariamente em função do preço, visto que os postos sem bandeira são </w:t>
      </w:r>
      <w:r w:rsidRPr="000D2A5D">
        <w:rPr>
          <w:rFonts w:ascii="Arial" w:hAnsi="Arial" w:cs="Arial"/>
          <w:b/>
          <w:i/>
        </w:rPr>
        <w:t>livres</w:t>
      </w:r>
      <w:r w:rsidRPr="000D2A5D">
        <w:rPr>
          <w:rFonts w:ascii="Arial" w:hAnsi="Arial" w:cs="Arial"/>
          <w:i/>
        </w:rPr>
        <w:t xml:space="preserve"> para buscar o fornecimento </w:t>
      </w:r>
      <w:r w:rsidRPr="000D2A5D">
        <w:rPr>
          <w:rFonts w:ascii="Arial" w:hAnsi="Arial" w:cs="Arial"/>
          <w:b/>
          <w:i/>
        </w:rPr>
        <w:t xml:space="preserve">mais barato no mercado, </w:t>
      </w:r>
      <w:r w:rsidRPr="000D2A5D">
        <w:rPr>
          <w:rFonts w:ascii="Arial" w:hAnsi="Arial" w:cs="Arial"/>
          <w:b/>
          <w:i/>
          <w:u w:val="single"/>
        </w:rPr>
        <w:t>sem exclusividade</w:t>
      </w:r>
      <w:r w:rsidRPr="000D2A5D">
        <w:rPr>
          <w:rFonts w:ascii="Arial" w:hAnsi="Arial" w:cs="Arial"/>
          <w:i/>
        </w:rPr>
        <w:t xml:space="preserve">, e se preocupam menos com a marca. Entre </w:t>
      </w:r>
      <w:r w:rsidRPr="000D2A5D">
        <w:rPr>
          <w:rFonts w:ascii="Arial" w:hAnsi="Arial" w:cs="Arial"/>
          <w:b/>
          <w:i/>
        </w:rPr>
        <w:t>bandeirados</w:t>
      </w:r>
      <w:r w:rsidRPr="000D2A5D">
        <w:rPr>
          <w:rFonts w:ascii="Arial" w:hAnsi="Arial" w:cs="Arial"/>
          <w:i/>
        </w:rPr>
        <w:t xml:space="preserve">, no entanto, a </w:t>
      </w:r>
      <w:r w:rsidRPr="000D2A5D">
        <w:rPr>
          <w:rFonts w:ascii="Arial" w:hAnsi="Arial" w:cs="Arial"/>
          <w:b/>
          <w:i/>
        </w:rPr>
        <w:t>competição acontece não só pelo preço</w:t>
      </w:r>
      <w:r w:rsidRPr="000D2A5D">
        <w:rPr>
          <w:rFonts w:ascii="Arial" w:hAnsi="Arial" w:cs="Arial"/>
          <w:i/>
        </w:rPr>
        <w:t xml:space="preserve">, mas também, por outros fatores, como </w:t>
      </w:r>
      <w:r w:rsidRPr="000D2A5D">
        <w:rPr>
          <w:rFonts w:ascii="Arial" w:hAnsi="Arial" w:cs="Arial"/>
          <w:b/>
          <w:i/>
        </w:rPr>
        <w:t>qualidade, estrutura, serviços agregados, atendimento, fidelização, marca, tempo serviço</w:t>
      </w:r>
      <w:r w:rsidRPr="000D2A5D">
        <w:rPr>
          <w:rFonts w:ascii="Arial" w:hAnsi="Arial" w:cs="Arial"/>
        </w:rPr>
        <w:t>”</w:t>
      </w:r>
      <w:r>
        <w:rPr>
          <w:rFonts w:ascii="Arial" w:hAnsi="Arial" w:cs="Arial"/>
        </w:rPr>
        <w:t xml:space="preserve">. </w:t>
      </w:r>
      <w:r w:rsidR="00BC183B">
        <w:rPr>
          <w:rFonts w:ascii="Arial" w:hAnsi="Arial" w:cs="Arial"/>
        </w:rPr>
        <w:t>A i. SG p</w:t>
      </w:r>
      <w:r w:rsidR="00537ECA">
        <w:rPr>
          <w:rFonts w:ascii="Arial" w:hAnsi="Arial" w:cs="Arial"/>
        </w:rPr>
        <w:t xml:space="preserve">ondera, contudo, que “tais fatores são em grande medida </w:t>
      </w:r>
      <w:r w:rsidR="00537ECA">
        <w:rPr>
          <w:rFonts w:ascii="Arial" w:hAnsi="Arial" w:cs="Arial"/>
          <w:b/>
        </w:rPr>
        <w:t>controlados</w:t>
      </w:r>
      <w:r w:rsidR="00537ECA">
        <w:rPr>
          <w:rFonts w:ascii="Arial" w:hAnsi="Arial" w:cs="Arial"/>
        </w:rPr>
        <w:t xml:space="preserve"> pela </w:t>
      </w:r>
      <w:r w:rsidR="00537ECA">
        <w:rPr>
          <w:rFonts w:ascii="Arial" w:hAnsi="Arial" w:cs="Arial"/>
        </w:rPr>
        <w:lastRenderedPageBreak/>
        <w:t>distribuidora”</w:t>
      </w:r>
      <w:r w:rsidR="00BC183B">
        <w:rPr>
          <w:rFonts w:ascii="Arial" w:hAnsi="Arial" w:cs="Arial"/>
        </w:rPr>
        <w:t>, c</w:t>
      </w:r>
      <w:r w:rsidR="00537ECA">
        <w:rPr>
          <w:rFonts w:ascii="Arial" w:hAnsi="Arial" w:cs="Arial"/>
        </w:rPr>
        <w:t>onclui</w:t>
      </w:r>
      <w:r w:rsidR="00BC183B">
        <w:rPr>
          <w:rFonts w:ascii="Arial" w:hAnsi="Arial" w:cs="Arial"/>
        </w:rPr>
        <w:t>ndo</w:t>
      </w:r>
      <w:r w:rsidR="00537ECA">
        <w:rPr>
          <w:rFonts w:ascii="Arial" w:hAnsi="Arial" w:cs="Arial"/>
        </w:rPr>
        <w:t>, com base nesses dados, que a competição entre bandeira branca e bandeiradas “não mais se sustenta como premissa inconteste”.</w:t>
      </w:r>
    </w:p>
    <w:p w:rsidR="00537ECA" w:rsidRDefault="00537ECA" w:rsidP="008A1B39">
      <w:pPr>
        <w:jc w:val="both"/>
        <w:rPr>
          <w:rFonts w:ascii="Arial" w:hAnsi="Arial" w:cs="Arial"/>
        </w:rPr>
      </w:pPr>
    </w:p>
    <w:p w:rsidR="009064E1" w:rsidRDefault="00537ECA" w:rsidP="008A1B39">
      <w:pPr>
        <w:jc w:val="both"/>
        <w:rPr>
          <w:rFonts w:ascii="Arial" w:hAnsi="Arial" w:cs="Arial"/>
        </w:rPr>
      </w:pPr>
      <w:r>
        <w:rPr>
          <w:rFonts w:ascii="Arial" w:hAnsi="Arial" w:cs="Arial"/>
        </w:rPr>
        <w:tab/>
        <w:t xml:space="preserve">Sobre esses pontos, cabe uma breve ponderação. </w:t>
      </w:r>
      <w:r w:rsidR="00DC1CDF" w:rsidRPr="00A828BA">
        <w:rPr>
          <w:rFonts w:ascii="Arial" w:hAnsi="Arial" w:cs="Arial"/>
          <w:b/>
        </w:rPr>
        <w:t xml:space="preserve">Se esta i. ANP reconhece que </w:t>
      </w:r>
      <w:r w:rsidR="009064E1" w:rsidRPr="00A828BA">
        <w:rPr>
          <w:rFonts w:ascii="Arial" w:hAnsi="Arial" w:cs="Arial"/>
          <w:b/>
        </w:rPr>
        <w:t xml:space="preserve">a exclusividade gerada pelo embandeiramento e pelos contratos celebrados entre as distribuidoras “dominantes” e os revendedores acarretam </w:t>
      </w:r>
      <w:r w:rsidR="009064E1" w:rsidRPr="00A828BA">
        <w:rPr>
          <w:rFonts w:ascii="Arial" w:hAnsi="Arial" w:cs="Arial"/>
          <w:b/>
          <w:u w:val="single"/>
        </w:rPr>
        <w:t>preços mais elevados</w:t>
      </w:r>
      <w:r w:rsidR="009064E1" w:rsidRPr="00A828BA">
        <w:rPr>
          <w:rFonts w:ascii="Arial" w:hAnsi="Arial" w:cs="Arial"/>
          <w:b/>
        </w:rPr>
        <w:t xml:space="preserve"> e os </w:t>
      </w:r>
      <w:r w:rsidR="009064E1" w:rsidRPr="00A828BA">
        <w:rPr>
          <w:rFonts w:ascii="Arial" w:hAnsi="Arial" w:cs="Arial"/>
          <w:b/>
          <w:u w:val="single"/>
        </w:rPr>
        <w:t>dados de autuação</w:t>
      </w:r>
      <w:r w:rsidR="009064E1" w:rsidRPr="00A828BA">
        <w:rPr>
          <w:rFonts w:ascii="Arial" w:hAnsi="Arial" w:cs="Arial"/>
          <w:b/>
        </w:rPr>
        <w:t xml:space="preserve"> por irregularidades na </w:t>
      </w:r>
      <w:r w:rsidR="009064E1" w:rsidRPr="00A828BA">
        <w:rPr>
          <w:rFonts w:ascii="Arial" w:hAnsi="Arial" w:cs="Arial"/>
          <w:b/>
          <w:u w:val="single"/>
        </w:rPr>
        <w:t>qualidade dos combustíveis</w:t>
      </w:r>
      <w:r w:rsidR="009064E1" w:rsidRPr="00A828BA">
        <w:rPr>
          <w:rFonts w:ascii="Arial" w:hAnsi="Arial" w:cs="Arial"/>
          <w:b/>
        </w:rPr>
        <w:t xml:space="preserve"> ofertados pela revenda demonstram </w:t>
      </w:r>
      <w:r w:rsidR="009064E1" w:rsidRPr="00A828BA">
        <w:rPr>
          <w:rFonts w:ascii="Arial" w:hAnsi="Arial" w:cs="Arial"/>
          <w:b/>
          <w:u w:val="single"/>
        </w:rPr>
        <w:t>não</w:t>
      </w:r>
      <w:r w:rsidR="009064E1" w:rsidRPr="00A828BA">
        <w:rPr>
          <w:rFonts w:ascii="Arial" w:hAnsi="Arial" w:cs="Arial"/>
          <w:b/>
        </w:rPr>
        <w:t xml:space="preserve"> haver grandes diferenças no número de postos bandeirados e não bandeirados autuados</w:t>
      </w:r>
      <w:r w:rsidR="009064E1">
        <w:rPr>
          <w:rFonts w:ascii="Arial" w:hAnsi="Arial" w:cs="Arial"/>
        </w:rPr>
        <w:t xml:space="preserve">, qual é a razão para a manutenção desta regra de embandeiramento? Seria para manter e favorecer o domínio de BR Distribuidora, Raízen e Ipiranga ou para garantir melhores preços e qualidades aos consumidores? </w:t>
      </w:r>
    </w:p>
    <w:p w:rsidR="009064E1" w:rsidRDefault="009064E1" w:rsidP="008A1B39">
      <w:pPr>
        <w:jc w:val="both"/>
        <w:rPr>
          <w:rFonts w:ascii="Arial" w:hAnsi="Arial" w:cs="Arial"/>
        </w:rPr>
      </w:pPr>
    </w:p>
    <w:p w:rsidR="0077629D" w:rsidRDefault="009064E1" w:rsidP="008A1B39">
      <w:pPr>
        <w:jc w:val="both"/>
        <w:rPr>
          <w:rFonts w:ascii="Arial" w:hAnsi="Arial" w:cs="Arial"/>
        </w:rPr>
      </w:pPr>
      <w:r>
        <w:rPr>
          <w:rFonts w:ascii="Arial" w:hAnsi="Arial" w:cs="Arial"/>
        </w:rPr>
        <w:tab/>
      </w:r>
      <w:r w:rsidR="00477C2A">
        <w:rPr>
          <w:rFonts w:ascii="Arial" w:hAnsi="Arial" w:cs="Arial"/>
        </w:rPr>
        <w:t xml:space="preserve"> </w:t>
      </w:r>
      <w:r w:rsidR="00AE0553">
        <w:rPr>
          <w:rFonts w:ascii="Arial" w:hAnsi="Arial" w:cs="Arial"/>
          <w:i/>
        </w:rPr>
        <w:t xml:space="preserve"> </w:t>
      </w:r>
      <w:r>
        <w:rPr>
          <w:rFonts w:ascii="Arial" w:hAnsi="Arial" w:cs="Arial"/>
        </w:rPr>
        <w:t xml:space="preserve">Pelos dados trazidos até o momento, parece-nos que esta resposta pende para a primeira hipótese, ou seja, favorecer o domínio das três grandes distribuidoras, em detrimento da livre e ampla competição e dos interesses e direitos dos consumidores. Sobre estes, cabe mais uma indagação. Será que </w:t>
      </w:r>
      <w:r w:rsidR="00BC183B">
        <w:rPr>
          <w:rFonts w:ascii="Arial" w:hAnsi="Arial" w:cs="Arial"/>
        </w:rPr>
        <w:t xml:space="preserve">os consumidores finais </w:t>
      </w:r>
      <w:r>
        <w:rPr>
          <w:rFonts w:ascii="Arial" w:hAnsi="Arial" w:cs="Arial"/>
        </w:rPr>
        <w:t>continuariam preferindo os postos bandeirados</w:t>
      </w:r>
      <w:r w:rsidR="00BC183B">
        <w:rPr>
          <w:rFonts w:ascii="Arial" w:hAnsi="Arial" w:cs="Arial"/>
        </w:rPr>
        <w:t>, cujo</w:t>
      </w:r>
      <w:r w:rsidR="00CB0ACE">
        <w:rPr>
          <w:rFonts w:ascii="Arial" w:hAnsi="Arial" w:cs="Arial"/>
        </w:rPr>
        <w:t>s preços são mais elevados,</w:t>
      </w:r>
      <w:r>
        <w:rPr>
          <w:rFonts w:ascii="Arial" w:hAnsi="Arial" w:cs="Arial"/>
        </w:rPr>
        <w:t xml:space="preserve"> em detrimento daqueles de bandeira branca</w:t>
      </w:r>
      <w:r w:rsidR="00CB0ACE">
        <w:rPr>
          <w:rFonts w:ascii="Arial" w:hAnsi="Arial" w:cs="Arial"/>
        </w:rPr>
        <w:t>, com preços mais baixos,</w:t>
      </w:r>
      <w:r>
        <w:rPr>
          <w:rFonts w:ascii="Arial" w:hAnsi="Arial" w:cs="Arial"/>
        </w:rPr>
        <w:t xml:space="preserve"> se houvesse uma ampla e irrestrita divulgação por parte desta i. ANP de que o número de postos bandeirados e não bandeirados autuados por irregularidades na qualidade do combustível ofertado é muito próximo? </w:t>
      </w:r>
    </w:p>
    <w:p w:rsidR="009064E1" w:rsidRDefault="009064E1" w:rsidP="008A1B39">
      <w:pPr>
        <w:jc w:val="both"/>
        <w:rPr>
          <w:rFonts w:ascii="Arial" w:hAnsi="Arial" w:cs="Arial"/>
        </w:rPr>
      </w:pPr>
    </w:p>
    <w:p w:rsidR="009064E1" w:rsidRDefault="009064E1" w:rsidP="008A1B39">
      <w:pPr>
        <w:jc w:val="both"/>
        <w:rPr>
          <w:rFonts w:ascii="Arial" w:hAnsi="Arial" w:cs="Arial"/>
        </w:rPr>
      </w:pPr>
      <w:r>
        <w:rPr>
          <w:rFonts w:ascii="Arial" w:hAnsi="Arial" w:cs="Arial"/>
        </w:rPr>
        <w:tab/>
        <w:t>Parece-nos que</w:t>
      </w:r>
      <w:r w:rsidR="007D61E8">
        <w:rPr>
          <w:rFonts w:ascii="Arial" w:hAnsi="Arial" w:cs="Arial"/>
        </w:rPr>
        <w:t>,</w:t>
      </w:r>
      <w:r>
        <w:rPr>
          <w:rFonts w:ascii="Arial" w:hAnsi="Arial" w:cs="Arial"/>
        </w:rPr>
        <w:t xml:space="preserve"> se realmente esta i. ANP garantisse a transparência e universalidade desta informação, a preferência dos consumidores pelos postos bandeirados poderia ser modificada no sentido de buscar o menor preço, até porque não nos parece que haja grandes diferenças em termos de atendimento entre um posto bandeirado e um posto não bandeirado, especialmente quando o primeiro acaba pagando mais caro pelo combustível adquirido junto à sua distribuidora bandeirada e </w:t>
      </w:r>
      <w:r w:rsidR="007D61E8">
        <w:rPr>
          <w:rFonts w:ascii="Arial" w:hAnsi="Arial" w:cs="Arial"/>
        </w:rPr>
        <w:t xml:space="preserve">este preço de aquisição é “determinante para o sucesso ou o fracasso do revendedor” e, ainda, </w:t>
      </w:r>
      <w:r>
        <w:rPr>
          <w:rFonts w:ascii="Arial" w:hAnsi="Arial" w:cs="Arial"/>
        </w:rPr>
        <w:t>as margens de lucro de um posto</w:t>
      </w:r>
      <w:r w:rsidR="007D61E8">
        <w:rPr>
          <w:rFonts w:ascii="Arial" w:hAnsi="Arial" w:cs="Arial"/>
        </w:rPr>
        <w:t>, bandeirado ou não,</w:t>
      </w:r>
      <w:r>
        <w:rPr>
          <w:rFonts w:ascii="Arial" w:hAnsi="Arial" w:cs="Arial"/>
        </w:rPr>
        <w:t xml:space="preserve"> são mínimas, conforme </w:t>
      </w:r>
      <w:r w:rsidR="007D61E8">
        <w:rPr>
          <w:rFonts w:ascii="Arial" w:hAnsi="Arial" w:cs="Arial"/>
        </w:rPr>
        <w:t>destacado pela SG em seu parecer</w:t>
      </w:r>
      <w:r w:rsidR="007D61E8">
        <w:rPr>
          <w:rStyle w:val="Refdenotaderodap"/>
          <w:rFonts w:ascii="Arial" w:hAnsi="Arial" w:cs="Arial"/>
        </w:rPr>
        <w:footnoteReference w:id="43"/>
      </w:r>
      <w:r w:rsidR="007D61E8">
        <w:rPr>
          <w:rFonts w:ascii="Arial" w:hAnsi="Arial" w:cs="Arial"/>
        </w:rPr>
        <w:t>.</w:t>
      </w:r>
    </w:p>
    <w:p w:rsidR="007D61E8" w:rsidRDefault="007D61E8" w:rsidP="008A1B39">
      <w:pPr>
        <w:jc w:val="both"/>
        <w:rPr>
          <w:rFonts w:ascii="Arial" w:hAnsi="Arial" w:cs="Arial"/>
        </w:rPr>
      </w:pPr>
    </w:p>
    <w:p w:rsidR="00502C2A" w:rsidRDefault="007D61E8" w:rsidP="008A1B39">
      <w:pPr>
        <w:jc w:val="both"/>
        <w:rPr>
          <w:rFonts w:ascii="Arial" w:hAnsi="Arial" w:cs="Arial"/>
          <w:i/>
        </w:rPr>
      </w:pPr>
      <w:r>
        <w:rPr>
          <w:rFonts w:ascii="Arial" w:hAnsi="Arial" w:cs="Arial"/>
        </w:rPr>
        <w:tab/>
        <w:t xml:space="preserve">É ainda interessante destacar o que foi dito pela SG em relação à estratégia das </w:t>
      </w:r>
      <w:r w:rsidR="00502C2A">
        <w:rPr>
          <w:rFonts w:ascii="Arial" w:hAnsi="Arial" w:cs="Arial"/>
        </w:rPr>
        <w:t>distribuidoras bandeiradas, especialmente aquelas dominantes. Segundo a SG, “</w:t>
      </w:r>
      <w:r w:rsidR="00502C2A">
        <w:rPr>
          <w:rFonts w:ascii="Arial" w:hAnsi="Arial" w:cs="Arial"/>
          <w:i/>
        </w:rPr>
        <w:t>a substituibilidade entre bandeira branca e bandeirados também é imperfeita do ponto de vista da oferta, na medida em que os postos bandeirados e bandeira branca são concorrencialmente muito distintos p</w:t>
      </w:r>
      <w:r w:rsidR="00CB0ACE">
        <w:rPr>
          <w:rFonts w:ascii="Arial" w:hAnsi="Arial" w:cs="Arial"/>
          <w:i/>
        </w:rPr>
        <w:t>a</w:t>
      </w:r>
      <w:r w:rsidR="00502C2A">
        <w:rPr>
          <w:rFonts w:ascii="Arial" w:hAnsi="Arial" w:cs="Arial"/>
          <w:i/>
        </w:rPr>
        <w:t xml:space="preserve">ra uma distribuidora verticalmente integrada na revenda (isto é, com bandeira própria). Conforme colocado no item 6.2.3, as distribuidoras procuram </w:t>
      </w:r>
      <w:r w:rsidR="00502C2A">
        <w:rPr>
          <w:rFonts w:ascii="Arial" w:hAnsi="Arial" w:cs="Arial"/>
          <w:b/>
          <w:i/>
        </w:rPr>
        <w:t xml:space="preserve">efetivamente áreas de expansão na revenda, buscando localizar postos e terrenos nas </w:t>
      </w:r>
      <w:r w:rsidR="00502C2A">
        <w:rPr>
          <w:rFonts w:ascii="Arial" w:hAnsi="Arial" w:cs="Arial"/>
          <w:b/>
          <w:i/>
        </w:rPr>
        <w:lastRenderedPageBreak/>
        <w:t>áreas (...) mais atrativas dentro dos municípios (...) [deixando] as áreas menos atrativas para a bandeira branca</w:t>
      </w:r>
      <w:r w:rsidR="00502C2A">
        <w:rPr>
          <w:rFonts w:ascii="Arial" w:hAnsi="Arial" w:cs="Arial"/>
          <w:i/>
        </w:rPr>
        <w:t xml:space="preserve">”. </w:t>
      </w:r>
    </w:p>
    <w:p w:rsidR="00502C2A" w:rsidRDefault="00502C2A" w:rsidP="008A1B39">
      <w:pPr>
        <w:jc w:val="both"/>
        <w:rPr>
          <w:rFonts w:ascii="Arial" w:hAnsi="Arial" w:cs="Arial"/>
        </w:rPr>
      </w:pPr>
    </w:p>
    <w:p w:rsidR="00502C2A" w:rsidRDefault="00502C2A" w:rsidP="00502C2A">
      <w:pPr>
        <w:ind w:firstLine="708"/>
        <w:jc w:val="both"/>
        <w:rPr>
          <w:rFonts w:ascii="Arial" w:hAnsi="Arial" w:cs="Arial"/>
        </w:rPr>
      </w:pPr>
      <w:r>
        <w:rPr>
          <w:rFonts w:ascii="Arial" w:hAnsi="Arial" w:cs="Arial"/>
        </w:rPr>
        <w:t xml:space="preserve">Ou seja, a partir desta regra de embandeiramento, as distribuidoras dominantes, com grande poder econômico, reforçam e perpetuam </w:t>
      </w:r>
      <w:r w:rsidR="00CB0ACE">
        <w:rPr>
          <w:rFonts w:ascii="Arial" w:hAnsi="Arial" w:cs="Arial"/>
        </w:rPr>
        <w:t>este</w:t>
      </w:r>
      <w:r>
        <w:rPr>
          <w:rFonts w:ascii="Arial" w:hAnsi="Arial" w:cs="Arial"/>
        </w:rPr>
        <w:t xml:space="preserve"> seu poder ao escolher os melhores postos para embandeir</w:t>
      </w:r>
      <w:r w:rsidR="00CB0ACE">
        <w:rPr>
          <w:rFonts w:ascii="Arial" w:hAnsi="Arial" w:cs="Arial"/>
        </w:rPr>
        <w:t>á</w:t>
      </w:r>
      <w:r>
        <w:rPr>
          <w:rFonts w:ascii="Arial" w:hAnsi="Arial" w:cs="Arial"/>
        </w:rPr>
        <w:t>-los e torná-los cativos</w:t>
      </w:r>
      <w:r w:rsidR="00CB0ACE">
        <w:rPr>
          <w:rFonts w:ascii="Arial" w:hAnsi="Arial" w:cs="Arial"/>
        </w:rPr>
        <w:t xml:space="preserve"> por longos anos</w:t>
      </w:r>
      <w:r>
        <w:rPr>
          <w:rFonts w:ascii="Arial" w:hAnsi="Arial" w:cs="Arial"/>
        </w:rPr>
        <w:t xml:space="preserve">, a partir dos contratos de exclusividade. Nesse sentido, é interessante mencionar os dados de </w:t>
      </w:r>
      <w:r>
        <w:rPr>
          <w:rFonts w:ascii="Arial" w:hAnsi="Arial" w:cs="Arial"/>
          <w:i/>
        </w:rPr>
        <w:t>share</w:t>
      </w:r>
      <w:r>
        <w:rPr>
          <w:rFonts w:ascii="Arial" w:hAnsi="Arial" w:cs="Arial"/>
        </w:rPr>
        <w:t xml:space="preserve"> levantados pela ANP e que mostram, por exemplo, que “</w:t>
      </w:r>
      <w:r w:rsidRPr="00502C2A">
        <w:rPr>
          <w:rFonts w:ascii="Arial" w:hAnsi="Arial" w:cs="Arial"/>
          <w:i/>
        </w:rPr>
        <w:t>o volume comercializado pela bandeira branca</w:t>
      </w:r>
      <w:r w:rsidR="00CB0ACE">
        <w:rPr>
          <w:rFonts w:ascii="Arial" w:hAnsi="Arial" w:cs="Arial"/>
          <w:i/>
        </w:rPr>
        <w:t>,</w:t>
      </w:r>
      <w:r w:rsidRPr="00502C2A">
        <w:rPr>
          <w:rFonts w:ascii="Arial" w:hAnsi="Arial" w:cs="Arial"/>
          <w:i/>
        </w:rPr>
        <w:t xml:space="preserve"> em 2015</w:t>
      </w:r>
      <w:r w:rsidR="00CB0ACE">
        <w:rPr>
          <w:rFonts w:ascii="Arial" w:hAnsi="Arial" w:cs="Arial"/>
          <w:i/>
        </w:rPr>
        <w:t>,</w:t>
      </w:r>
      <w:r w:rsidRPr="00502C2A">
        <w:rPr>
          <w:rFonts w:ascii="Arial" w:hAnsi="Arial" w:cs="Arial"/>
          <w:i/>
        </w:rPr>
        <w:t xml:space="preserve"> foi de 29% do total [da demanda nacional], enquanto o número de postos bandeira branca é 40%, significativamente superio</w:t>
      </w:r>
      <w:r>
        <w:rPr>
          <w:rFonts w:ascii="Arial" w:hAnsi="Arial" w:cs="Arial"/>
          <w:i/>
        </w:rPr>
        <w:t>r</w:t>
      </w:r>
      <w:r>
        <w:rPr>
          <w:rFonts w:ascii="Arial" w:hAnsi="Arial" w:cs="Arial"/>
        </w:rPr>
        <w:t xml:space="preserve">”. </w:t>
      </w:r>
    </w:p>
    <w:p w:rsidR="00502C2A" w:rsidRDefault="00502C2A" w:rsidP="00502C2A">
      <w:pPr>
        <w:ind w:firstLine="708"/>
        <w:jc w:val="both"/>
        <w:rPr>
          <w:rFonts w:ascii="Arial" w:hAnsi="Arial" w:cs="Arial"/>
        </w:rPr>
      </w:pPr>
    </w:p>
    <w:p w:rsidR="007D61E8" w:rsidRDefault="00502C2A" w:rsidP="00502C2A">
      <w:pPr>
        <w:ind w:firstLine="708"/>
        <w:jc w:val="both"/>
        <w:rPr>
          <w:rFonts w:ascii="Arial" w:hAnsi="Arial" w:cs="Arial"/>
        </w:rPr>
      </w:pPr>
      <w:r>
        <w:rPr>
          <w:rFonts w:ascii="Arial" w:hAnsi="Arial" w:cs="Arial"/>
        </w:rPr>
        <w:t xml:space="preserve">Estes dados apenas mostram o </w:t>
      </w:r>
      <w:r w:rsidRPr="00A828BA">
        <w:rPr>
          <w:rFonts w:ascii="Arial" w:hAnsi="Arial" w:cs="Arial"/>
          <w:b/>
        </w:rPr>
        <w:t>quão fechado o mercado está para um agente que pretenda passar a ofertar combustíveis para a revenda</w:t>
      </w:r>
      <w:r w:rsidR="005748D4">
        <w:rPr>
          <w:rFonts w:ascii="Arial" w:hAnsi="Arial" w:cs="Arial"/>
        </w:rPr>
        <w:t>, especialmente, ao considerarmos que neste setor, as economias de escala têm certa relevância e importância para o sucesso da entrada e permanência no mercado.</w:t>
      </w:r>
    </w:p>
    <w:p w:rsidR="005748D4" w:rsidRDefault="005748D4" w:rsidP="00502C2A">
      <w:pPr>
        <w:ind w:firstLine="708"/>
        <w:jc w:val="both"/>
        <w:rPr>
          <w:rFonts w:ascii="Arial" w:hAnsi="Arial" w:cs="Arial"/>
        </w:rPr>
      </w:pPr>
    </w:p>
    <w:p w:rsidR="005748D4" w:rsidRDefault="005748D4" w:rsidP="00502C2A">
      <w:pPr>
        <w:ind w:firstLine="708"/>
        <w:jc w:val="both"/>
        <w:rPr>
          <w:rFonts w:ascii="Arial" w:hAnsi="Arial" w:cs="Arial"/>
        </w:rPr>
      </w:pPr>
      <w:r>
        <w:rPr>
          <w:rFonts w:ascii="Arial" w:hAnsi="Arial" w:cs="Arial"/>
        </w:rPr>
        <w:t xml:space="preserve">Retomando a análise apresentada pela i. SG, salta aos olhos o que diz sobre o impacto dos contratos de exclusividade em relação à concorrência intramarca e o seu grande potencial de fomentar ações cartelizadoras, </w:t>
      </w:r>
      <w:r>
        <w:rPr>
          <w:rFonts w:ascii="Arial" w:hAnsi="Arial" w:cs="Arial"/>
          <w:i/>
        </w:rPr>
        <w:t>in verbis</w:t>
      </w:r>
      <w:r>
        <w:rPr>
          <w:rFonts w:ascii="Arial" w:hAnsi="Arial" w:cs="Arial"/>
        </w:rPr>
        <w:t xml:space="preserve">: </w:t>
      </w:r>
    </w:p>
    <w:p w:rsidR="005748D4" w:rsidRDefault="005748D4" w:rsidP="005748D4">
      <w:pPr>
        <w:jc w:val="both"/>
        <w:rPr>
          <w:rFonts w:ascii="Arial" w:hAnsi="Arial" w:cs="Arial"/>
        </w:rPr>
      </w:pPr>
    </w:p>
    <w:p w:rsidR="005748D4" w:rsidRDefault="005748D4" w:rsidP="005748D4">
      <w:pPr>
        <w:ind w:left="1416"/>
        <w:jc w:val="both"/>
        <w:rPr>
          <w:rFonts w:ascii="Arial" w:hAnsi="Arial" w:cs="Arial"/>
          <w:i/>
          <w:sz w:val="20"/>
          <w:szCs w:val="20"/>
        </w:rPr>
      </w:pPr>
      <w:r w:rsidRPr="005748D4">
        <w:rPr>
          <w:rFonts w:ascii="Arial" w:hAnsi="Arial" w:cs="Arial"/>
          <w:sz w:val="20"/>
          <w:szCs w:val="20"/>
        </w:rPr>
        <w:t>“</w:t>
      </w:r>
      <w:r w:rsidRPr="005748D4">
        <w:rPr>
          <w:rFonts w:ascii="Arial" w:hAnsi="Arial" w:cs="Arial"/>
          <w:i/>
          <w:sz w:val="20"/>
          <w:szCs w:val="20"/>
        </w:rPr>
        <w:t>257. É de se notar que o último caso da lista acima</w:t>
      </w:r>
      <w:r>
        <w:rPr>
          <w:rFonts w:ascii="Arial" w:hAnsi="Arial" w:cs="Arial"/>
          <w:i/>
          <w:sz w:val="20"/>
          <w:szCs w:val="20"/>
        </w:rPr>
        <w:t xml:space="preserve"> [‘</w:t>
      </w:r>
      <w:r w:rsidRPr="00A828BA">
        <w:rPr>
          <w:rFonts w:ascii="Arial" w:hAnsi="Arial" w:cs="Arial"/>
          <w:b/>
          <w:i/>
          <w:sz w:val="20"/>
          <w:szCs w:val="20"/>
        </w:rPr>
        <w:t>PA nº 08012.011042/2005-61</w:t>
      </w:r>
      <w:r>
        <w:rPr>
          <w:rFonts w:ascii="Arial" w:hAnsi="Arial" w:cs="Arial"/>
          <w:i/>
          <w:sz w:val="20"/>
          <w:szCs w:val="20"/>
        </w:rPr>
        <w:t>]</w:t>
      </w:r>
      <w:r w:rsidRPr="005748D4">
        <w:rPr>
          <w:rFonts w:ascii="Arial" w:hAnsi="Arial" w:cs="Arial"/>
          <w:i/>
          <w:sz w:val="20"/>
          <w:szCs w:val="20"/>
        </w:rPr>
        <w:t xml:space="preserve"> representa o precedente mais recente deste Cade </w:t>
      </w:r>
      <w:r w:rsidRPr="005748D4">
        <w:rPr>
          <w:rFonts w:ascii="Arial" w:hAnsi="Arial" w:cs="Arial"/>
          <w:b/>
          <w:i/>
          <w:sz w:val="20"/>
          <w:szCs w:val="20"/>
        </w:rPr>
        <w:t>condenando uma distribuidora (no caso, a Raízen) por organizar carteis na revenda</w:t>
      </w:r>
      <w:r w:rsidRPr="005748D4">
        <w:rPr>
          <w:rFonts w:ascii="Arial" w:hAnsi="Arial" w:cs="Arial"/>
          <w:i/>
          <w:sz w:val="20"/>
          <w:szCs w:val="20"/>
        </w:rPr>
        <w:t xml:space="preserve">, tendo sido julgado em 12.10.2014. </w:t>
      </w:r>
      <w:r w:rsidRPr="00A828BA">
        <w:rPr>
          <w:rFonts w:ascii="Arial" w:hAnsi="Arial" w:cs="Arial"/>
          <w:b/>
          <w:i/>
          <w:sz w:val="20"/>
          <w:szCs w:val="20"/>
        </w:rPr>
        <w:t>O caso é de especial interesse</w:t>
      </w:r>
      <w:r w:rsidRPr="005748D4">
        <w:rPr>
          <w:rFonts w:ascii="Arial" w:hAnsi="Arial" w:cs="Arial"/>
          <w:i/>
          <w:sz w:val="20"/>
          <w:szCs w:val="20"/>
        </w:rPr>
        <w:t xml:space="preserve"> à presente análise não só </w:t>
      </w:r>
      <w:r w:rsidRPr="00A828BA">
        <w:rPr>
          <w:rFonts w:ascii="Arial" w:hAnsi="Arial" w:cs="Arial"/>
          <w:b/>
          <w:i/>
          <w:sz w:val="20"/>
          <w:szCs w:val="20"/>
        </w:rPr>
        <w:t>por envolver uma distribuidora/bandeira</w:t>
      </w:r>
      <w:r w:rsidRPr="005748D4">
        <w:rPr>
          <w:rFonts w:ascii="Arial" w:hAnsi="Arial" w:cs="Arial"/>
          <w:i/>
          <w:sz w:val="20"/>
          <w:szCs w:val="20"/>
        </w:rPr>
        <w:t xml:space="preserve">, mas também porque adentrou em uma discussão mais aprofundada sobre o patamar de presunção de poder de mercado na revenda de combustíveis, refletindo o entendimento mais atual – e revisado – do Cade sobre o assunto. Naquele caso, não só o percentual de 20% foi aceito para averiguar o poder de mercado no município de Marília/SP, mas também um percentual inferior foi aceito para o município de Bauru/SP. Isso decorreu de </w:t>
      </w:r>
      <w:r w:rsidRPr="00864F7D">
        <w:rPr>
          <w:rFonts w:ascii="Arial" w:hAnsi="Arial" w:cs="Arial"/>
          <w:b/>
          <w:i/>
          <w:sz w:val="20"/>
          <w:szCs w:val="20"/>
        </w:rPr>
        <w:t xml:space="preserve">considerações empíricas relacionadas à efetiva </w:t>
      </w:r>
      <w:r w:rsidRPr="00A828BA">
        <w:rPr>
          <w:rFonts w:ascii="Arial" w:hAnsi="Arial" w:cs="Arial"/>
          <w:b/>
          <w:i/>
          <w:sz w:val="20"/>
          <w:szCs w:val="20"/>
          <w:u w:val="single"/>
        </w:rPr>
        <w:t>capacidade da distribuidora de controlar</w:t>
      </w:r>
      <w:r w:rsidRPr="00864F7D">
        <w:rPr>
          <w:rFonts w:ascii="Arial" w:hAnsi="Arial" w:cs="Arial"/>
          <w:b/>
          <w:i/>
          <w:sz w:val="20"/>
          <w:szCs w:val="20"/>
        </w:rPr>
        <w:t xml:space="preserve"> o mercado, mesmo contra </w:t>
      </w:r>
      <w:r w:rsidRPr="00A828BA">
        <w:rPr>
          <w:rFonts w:ascii="Arial" w:hAnsi="Arial" w:cs="Arial"/>
          <w:b/>
          <w:i/>
          <w:sz w:val="20"/>
          <w:szCs w:val="20"/>
          <w:u w:val="single"/>
        </w:rPr>
        <w:t>tentativas dos postos bandeira branca de competir</w:t>
      </w:r>
      <w:r w:rsidRPr="00864F7D">
        <w:rPr>
          <w:rFonts w:ascii="Arial" w:hAnsi="Arial" w:cs="Arial"/>
          <w:b/>
          <w:i/>
          <w:sz w:val="20"/>
          <w:szCs w:val="20"/>
        </w:rPr>
        <w:t xml:space="preserve"> com base no </w:t>
      </w:r>
      <w:r w:rsidRPr="00A828BA">
        <w:rPr>
          <w:rFonts w:ascii="Arial" w:hAnsi="Arial" w:cs="Arial"/>
          <w:b/>
          <w:i/>
          <w:sz w:val="20"/>
          <w:szCs w:val="20"/>
          <w:u w:val="single"/>
        </w:rPr>
        <w:t>menor preço</w:t>
      </w:r>
      <w:r w:rsidRPr="00864F7D">
        <w:rPr>
          <w:rFonts w:ascii="Arial" w:hAnsi="Arial" w:cs="Arial"/>
          <w:b/>
          <w:i/>
          <w:sz w:val="20"/>
          <w:szCs w:val="20"/>
        </w:rPr>
        <w:t xml:space="preserve"> ou no fornecimento pulverizado (e até mesmo ilegal) de etanol</w:t>
      </w:r>
      <w:r w:rsidRPr="005748D4">
        <w:rPr>
          <w:rFonts w:ascii="Arial" w:hAnsi="Arial" w:cs="Arial"/>
          <w:i/>
          <w:sz w:val="20"/>
          <w:szCs w:val="20"/>
        </w:rPr>
        <w:t>.</w:t>
      </w:r>
    </w:p>
    <w:p w:rsidR="00864F7D" w:rsidRPr="005748D4" w:rsidRDefault="00864F7D" w:rsidP="005748D4">
      <w:pPr>
        <w:ind w:left="1416"/>
        <w:jc w:val="both"/>
        <w:rPr>
          <w:rFonts w:ascii="Arial" w:hAnsi="Arial" w:cs="Arial"/>
          <w:i/>
          <w:sz w:val="20"/>
          <w:szCs w:val="20"/>
        </w:rPr>
      </w:pPr>
    </w:p>
    <w:p w:rsidR="005748D4" w:rsidRDefault="005748D4" w:rsidP="005748D4">
      <w:pPr>
        <w:ind w:left="1416"/>
        <w:jc w:val="both"/>
        <w:rPr>
          <w:rFonts w:ascii="Arial" w:hAnsi="Arial" w:cs="Arial"/>
          <w:i/>
          <w:sz w:val="20"/>
          <w:szCs w:val="20"/>
        </w:rPr>
      </w:pPr>
      <w:r w:rsidRPr="005748D4">
        <w:rPr>
          <w:rFonts w:ascii="Arial" w:hAnsi="Arial" w:cs="Arial"/>
          <w:i/>
          <w:sz w:val="20"/>
          <w:szCs w:val="20"/>
        </w:rPr>
        <w:t>258. Além dos casos já julgados, há outros processos ainda em trâmite no Cade que apontam para a capacidade de</w:t>
      </w:r>
      <w:r w:rsidRPr="00864F7D">
        <w:rPr>
          <w:rFonts w:ascii="Arial" w:hAnsi="Arial" w:cs="Arial"/>
          <w:b/>
          <w:i/>
          <w:sz w:val="20"/>
          <w:szCs w:val="20"/>
        </w:rPr>
        <w:t xml:space="preserve"> agentes</w:t>
      </w:r>
      <w:r w:rsidRPr="005748D4">
        <w:rPr>
          <w:rFonts w:ascii="Arial" w:hAnsi="Arial" w:cs="Arial"/>
          <w:i/>
          <w:sz w:val="20"/>
          <w:szCs w:val="20"/>
        </w:rPr>
        <w:t xml:space="preserve"> com participação próxima ou pouco acima de 20% </w:t>
      </w:r>
      <w:r w:rsidRPr="00864F7D">
        <w:rPr>
          <w:rFonts w:ascii="Arial" w:hAnsi="Arial" w:cs="Arial"/>
          <w:b/>
          <w:i/>
          <w:sz w:val="20"/>
          <w:szCs w:val="20"/>
        </w:rPr>
        <w:t>atuarem como líderes para controlar o mercado e/ou induzir a colusão</w:t>
      </w:r>
      <w:r w:rsidRPr="005748D4">
        <w:rPr>
          <w:rFonts w:ascii="Arial" w:hAnsi="Arial" w:cs="Arial"/>
          <w:i/>
          <w:sz w:val="20"/>
          <w:szCs w:val="20"/>
        </w:rPr>
        <w:t xml:space="preserve">. No Processo Administrativo no </w:t>
      </w:r>
      <w:r w:rsidRPr="00A828BA">
        <w:rPr>
          <w:rFonts w:ascii="Arial" w:hAnsi="Arial" w:cs="Arial"/>
          <w:b/>
          <w:i/>
          <w:sz w:val="20"/>
          <w:szCs w:val="20"/>
        </w:rPr>
        <w:t>08700.002821/2014­09</w:t>
      </w:r>
      <w:r w:rsidRPr="005748D4">
        <w:rPr>
          <w:rFonts w:ascii="Arial" w:hAnsi="Arial" w:cs="Arial"/>
          <w:i/>
          <w:sz w:val="20"/>
          <w:szCs w:val="20"/>
        </w:rPr>
        <w:t xml:space="preserve">, </w:t>
      </w:r>
      <w:r w:rsidRPr="00864F7D">
        <w:rPr>
          <w:rFonts w:ascii="Arial" w:hAnsi="Arial" w:cs="Arial"/>
          <w:b/>
          <w:i/>
          <w:sz w:val="20"/>
          <w:szCs w:val="20"/>
        </w:rPr>
        <w:t>a BR Distribuidora está sendo investigada por supostamente coordenar um cartel na revenda de combustíveis no município de São Luís/MA</w:t>
      </w:r>
      <w:r w:rsidRPr="005748D4">
        <w:rPr>
          <w:rFonts w:ascii="Arial" w:hAnsi="Arial" w:cs="Arial"/>
          <w:i/>
          <w:sz w:val="20"/>
          <w:szCs w:val="20"/>
        </w:rPr>
        <w:t>, onde possuía 31,7% de market share. Já no Recurso Voluntário no 08700.000719/2016­31, o Tribunal do Cade considerou preventivamente que a detenção de 30% de market share (em n</w:t>
      </w:r>
      <w:r w:rsidR="00864F7D">
        <w:rPr>
          <w:rFonts w:ascii="Arial" w:hAnsi="Arial" w:cs="Arial"/>
          <w:i/>
          <w:sz w:val="20"/>
          <w:szCs w:val="20"/>
        </w:rPr>
        <w:t>º</w:t>
      </w:r>
      <w:r w:rsidRPr="005748D4">
        <w:rPr>
          <w:rFonts w:ascii="Arial" w:hAnsi="Arial" w:cs="Arial"/>
          <w:i/>
          <w:sz w:val="20"/>
          <w:szCs w:val="20"/>
        </w:rPr>
        <w:t xml:space="preserve"> de postos) por parte da rede de revenda Cascol foi suficiente para caracterizar sua </w:t>
      </w:r>
      <w:r w:rsidRPr="00864F7D">
        <w:rPr>
          <w:rFonts w:ascii="Arial" w:hAnsi="Arial" w:cs="Arial"/>
          <w:b/>
          <w:i/>
          <w:sz w:val="20"/>
          <w:szCs w:val="20"/>
        </w:rPr>
        <w:t>capacidade de induzir o mercado à cartelização, sobretudo porque havia indícios preliminares de que o grupo obtinha junto às distribuidoras vantagens e instrumentos de efetivação de seu controle sobre o mercado</w:t>
      </w:r>
      <w:r w:rsidRPr="005748D4">
        <w:rPr>
          <w:rFonts w:ascii="Arial" w:hAnsi="Arial" w:cs="Arial"/>
          <w:i/>
          <w:sz w:val="20"/>
          <w:szCs w:val="20"/>
        </w:rPr>
        <w:t>.</w:t>
      </w:r>
    </w:p>
    <w:p w:rsidR="00864F7D" w:rsidRPr="005748D4" w:rsidRDefault="00864F7D" w:rsidP="005748D4">
      <w:pPr>
        <w:ind w:left="1416"/>
        <w:jc w:val="both"/>
        <w:rPr>
          <w:rFonts w:ascii="Arial" w:hAnsi="Arial" w:cs="Arial"/>
          <w:i/>
          <w:sz w:val="20"/>
          <w:szCs w:val="20"/>
        </w:rPr>
      </w:pPr>
    </w:p>
    <w:p w:rsidR="005748D4" w:rsidRDefault="005748D4" w:rsidP="005748D4">
      <w:pPr>
        <w:ind w:left="1416"/>
        <w:jc w:val="both"/>
        <w:rPr>
          <w:rFonts w:ascii="Arial" w:hAnsi="Arial" w:cs="Arial"/>
          <w:i/>
          <w:sz w:val="20"/>
          <w:szCs w:val="20"/>
        </w:rPr>
      </w:pPr>
      <w:r w:rsidRPr="005748D4">
        <w:rPr>
          <w:rFonts w:ascii="Arial" w:hAnsi="Arial" w:cs="Arial"/>
          <w:i/>
          <w:sz w:val="20"/>
          <w:szCs w:val="20"/>
        </w:rPr>
        <w:t xml:space="preserve">259. Na realidade, como ficará claro na análise de poder coordenado (seção 6.5), a </w:t>
      </w:r>
      <w:r w:rsidRPr="00864F7D">
        <w:rPr>
          <w:rFonts w:ascii="Arial" w:hAnsi="Arial" w:cs="Arial"/>
          <w:b/>
          <w:i/>
          <w:sz w:val="20"/>
          <w:szCs w:val="20"/>
        </w:rPr>
        <w:t xml:space="preserve">experiência do Cade com carteis na revenda demonstra que a extrema sensibilidade dos postos a </w:t>
      </w:r>
      <w:r w:rsidRPr="00A828BA">
        <w:rPr>
          <w:rFonts w:ascii="Arial" w:hAnsi="Arial" w:cs="Arial"/>
          <w:b/>
          <w:i/>
          <w:sz w:val="20"/>
          <w:szCs w:val="20"/>
          <w:u w:val="single"/>
        </w:rPr>
        <w:t>variáveis competitivas detidas em grande medida pelas distribuidoras</w:t>
      </w:r>
      <w:r w:rsidRPr="00864F7D">
        <w:rPr>
          <w:rFonts w:ascii="Arial" w:hAnsi="Arial" w:cs="Arial"/>
          <w:b/>
          <w:i/>
          <w:sz w:val="20"/>
          <w:szCs w:val="20"/>
        </w:rPr>
        <w:t xml:space="preserve"> cria uma dinâmica segundo a qual as </w:t>
      </w:r>
      <w:r w:rsidRPr="00A828BA">
        <w:rPr>
          <w:rFonts w:ascii="Arial" w:hAnsi="Arial" w:cs="Arial"/>
          <w:b/>
          <w:i/>
          <w:sz w:val="20"/>
          <w:szCs w:val="20"/>
          <w:u w:val="single"/>
        </w:rPr>
        <w:t>distribuidoras de maior porte</w:t>
      </w:r>
      <w:r w:rsidRPr="00864F7D">
        <w:rPr>
          <w:rFonts w:ascii="Arial" w:hAnsi="Arial" w:cs="Arial"/>
          <w:b/>
          <w:i/>
          <w:sz w:val="20"/>
          <w:szCs w:val="20"/>
        </w:rPr>
        <w:t xml:space="preserve"> frequentemente conseguem </w:t>
      </w:r>
      <w:r w:rsidRPr="00A828BA">
        <w:rPr>
          <w:rFonts w:ascii="Arial" w:hAnsi="Arial" w:cs="Arial"/>
          <w:b/>
          <w:i/>
          <w:sz w:val="20"/>
          <w:szCs w:val="20"/>
          <w:u w:val="single"/>
        </w:rPr>
        <w:t xml:space="preserve">utilizar as redes </w:t>
      </w:r>
      <w:r w:rsidRPr="00A828BA">
        <w:rPr>
          <w:rFonts w:ascii="Arial" w:hAnsi="Arial" w:cs="Arial"/>
          <w:b/>
          <w:i/>
          <w:sz w:val="20"/>
          <w:szCs w:val="20"/>
          <w:u w:val="single"/>
        </w:rPr>
        <w:lastRenderedPageBreak/>
        <w:t>de revenda com posição dominante</w:t>
      </w:r>
      <w:r w:rsidRPr="00864F7D">
        <w:rPr>
          <w:rFonts w:ascii="Arial" w:hAnsi="Arial" w:cs="Arial"/>
          <w:b/>
          <w:i/>
          <w:sz w:val="20"/>
          <w:szCs w:val="20"/>
        </w:rPr>
        <w:t xml:space="preserve"> (&gt; 20% ou até menos) para obter </w:t>
      </w:r>
      <w:r w:rsidRPr="00A828BA">
        <w:rPr>
          <w:rFonts w:ascii="Arial" w:hAnsi="Arial" w:cs="Arial"/>
          <w:b/>
          <w:i/>
          <w:sz w:val="20"/>
          <w:szCs w:val="20"/>
          <w:u w:val="single"/>
        </w:rPr>
        <w:t>condições mais propícias à cartelização</w:t>
      </w:r>
      <w:r w:rsidRPr="00864F7D">
        <w:rPr>
          <w:rFonts w:ascii="Arial" w:hAnsi="Arial" w:cs="Arial"/>
          <w:b/>
          <w:i/>
          <w:sz w:val="20"/>
          <w:szCs w:val="20"/>
        </w:rPr>
        <w:t xml:space="preserve"> e </w:t>
      </w:r>
      <w:r w:rsidRPr="00A828BA">
        <w:rPr>
          <w:rFonts w:ascii="Arial" w:hAnsi="Arial" w:cs="Arial"/>
          <w:b/>
          <w:i/>
          <w:sz w:val="20"/>
          <w:szCs w:val="20"/>
          <w:u w:val="single"/>
        </w:rPr>
        <w:t>penalizar</w:t>
      </w:r>
      <w:r w:rsidRPr="00864F7D">
        <w:rPr>
          <w:rFonts w:ascii="Arial" w:hAnsi="Arial" w:cs="Arial"/>
          <w:b/>
          <w:i/>
          <w:sz w:val="20"/>
          <w:szCs w:val="20"/>
        </w:rPr>
        <w:t xml:space="preserve"> os </w:t>
      </w:r>
      <w:r w:rsidRPr="00A828BA">
        <w:rPr>
          <w:rFonts w:ascii="Arial" w:hAnsi="Arial" w:cs="Arial"/>
          <w:b/>
          <w:i/>
          <w:sz w:val="20"/>
          <w:szCs w:val="20"/>
          <w:u w:val="single"/>
        </w:rPr>
        <w:t>postos não alinhados</w:t>
      </w:r>
      <w:r w:rsidRPr="005748D4">
        <w:rPr>
          <w:rFonts w:ascii="Arial" w:hAnsi="Arial" w:cs="Arial"/>
          <w:i/>
          <w:sz w:val="20"/>
          <w:szCs w:val="20"/>
        </w:rPr>
        <w:t>.</w:t>
      </w:r>
    </w:p>
    <w:p w:rsidR="00864F7D" w:rsidRPr="005748D4" w:rsidRDefault="00864F7D" w:rsidP="005748D4">
      <w:pPr>
        <w:ind w:left="1416"/>
        <w:jc w:val="both"/>
        <w:rPr>
          <w:rFonts w:ascii="Arial" w:hAnsi="Arial" w:cs="Arial"/>
          <w:i/>
          <w:sz w:val="20"/>
          <w:szCs w:val="20"/>
        </w:rPr>
      </w:pPr>
    </w:p>
    <w:p w:rsidR="005748D4" w:rsidRDefault="005748D4" w:rsidP="005748D4">
      <w:pPr>
        <w:ind w:left="1416"/>
        <w:jc w:val="both"/>
        <w:rPr>
          <w:rFonts w:ascii="Arial" w:hAnsi="Arial" w:cs="Arial"/>
          <w:i/>
          <w:sz w:val="20"/>
          <w:szCs w:val="20"/>
        </w:rPr>
      </w:pPr>
      <w:r w:rsidRPr="005748D4">
        <w:rPr>
          <w:rFonts w:ascii="Arial" w:hAnsi="Arial" w:cs="Arial"/>
          <w:i/>
          <w:sz w:val="20"/>
          <w:szCs w:val="20"/>
        </w:rPr>
        <w:t xml:space="preserve">260. As considerações acima apontam para a necessidade de </w:t>
      </w:r>
      <w:r w:rsidRPr="00864F7D">
        <w:rPr>
          <w:rFonts w:ascii="Arial" w:hAnsi="Arial" w:cs="Arial"/>
          <w:b/>
          <w:i/>
          <w:sz w:val="20"/>
          <w:szCs w:val="20"/>
        </w:rPr>
        <w:t>relativizar também a relevância da concorrência intramarca</w:t>
      </w:r>
      <w:r w:rsidRPr="005748D4">
        <w:rPr>
          <w:rFonts w:ascii="Arial" w:hAnsi="Arial" w:cs="Arial"/>
          <w:i/>
          <w:sz w:val="20"/>
          <w:szCs w:val="20"/>
        </w:rPr>
        <w:t xml:space="preserve">. </w:t>
      </w:r>
      <w:r w:rsidRPr="00864F7D">
        <w:rPr>
          <w:rFonts w:ascii="Arial" w:hAnsi="Arial" w:cs="Arial"/>
          <w:b/>
          <w:i/>
          <w:sz w:val="20"/>
          <w:szCs w:val="20"/>
        </w:rPr>
        <w:t xml:space="preserve">Os contratos de exclusividade do posto com a distribuidora duram em média de 4 a 5 anos, podendo chegar a </w:t>
      </w:r>
      <w:r w:rsidRPr="00A828BA">
        <w:rPr>
          <w:rFonts w:ascii="Arial" w:hAnsi="Arial" w:cs="Arial"/>
          <w:b/>
          <w:i/>
          <w:sz w:val="20"/>
          <w:szCs w:val="20"/>
          <w:u w:val="single"/>
        </w:rPr>
        <w:t>até 10 anos</w:t>
      </w:r>
      <w:r w:rsidRPr="005748D4">
        <w:rPr>
          <w:rFonts w:ascii="Arial" w:hAnsi="Arial" w:cs="Arial"/>
          <w:i/>
          <w:sz w:val="20"/>
          <w:szCs w:val="20"/>
        </w:rPr>
        <w:t xml:space="preserve">. Segundo a terceira interessada Fecombustíveis, </w:t>
      </w:r>
      <w:r w:rsidRPr="00864F7D">
        <w:rPr>
          <w:rFonts w:ascii="Arial" w:hAnsi="Arial" w:cs="Arial"/>
          <w:b/>
          <w:i/>
          <w:sz w:val="20"/>
          <w:szCs w:val="20"/>
        </w:rPr>
        <w:t xml:space="preserve">o poder de barganha da distribuidora nesses contratos é “absoluto”, o que se reflete nas multas contratuais de </w:t>
      </w:r>
      <w:r w:rsidR="00CB0ACE" w:rsidRPr="00864F7D">
        <w:rPr>
          <w:rFonts w:ascii="Arial" w:hAnsi="Arial" w:cs="Arial"/>
          <w:b/>
          <w:i/>
          <w:sz w:val="20"/>
          <w:szCs w:val="20"/>
        </w:rPr>
        <w:t>rescisão</w:t>
      </w:r>
      <w:r w:rsidRPr="005748D4">
        <w:rPr>
          <w:rFonts w:ascii="Arial" w:hAnsi="Arial" w:cs="Arial"/>
          <w:i/>
          <w:sz w:val="20"/>
          <w:szCs w:val="20"/>
        </w:rPr>
        <w:t xml:space="preserve">: enquanto para a distribuidora a </w:t>
      </w:r>
      <w:r w:rsidR="00CB0ACE" w:rsidRPr="005748D4">
        <w:rPr>
          <w:rFonts w:ascii="Arial" w:hAnsi="Arial" w:cs="Arial"/>
          <w:i/>
          <w:sz w:val="20"/>
          <w:szCs w:val="20"/>
        </w:rPr>
        <w:t>rescisão</w:t>
      </w:r>
      <w:r w:rsidRPr="005748D4">
        <w:rPr>
          <w:rFonts w:ascii="Arial" w:hAnsi="Arial" w:cs="Arial"/>
          <w:i/>
          <w:sz w:val="20"/>
          <w:szCs w:val="20"/>
        </w:rPr>
        <w:t xml:space="preserve"> costuma implicar multa baixa ou pouco relevante, </w:t>
      </w:r>
      <w:r w:rsidRPr="00864F7D">
        <w:rPr>
          <w:rFonts w:ascii="Arial" w:hAnsi="Arial" w:cs="Arial"/>
          <w:b/>
          <w:i/>
          <w:sz w:val="20"/>
          <w:szCs w:val="20"/>
        </w:rPr>
        <w:t>para o posto a multa é “proibitiva</w:t>
      </w:r>
      <w:r w:rsidRPr="005748D4">
        <w:rPr>
          <w:rFonts w:ascii="Arial" w:hAnsi="Arial" w:cs="Arial"/>
          <w:i/>
          <w:sz w:val="20"/>
          <w:szCs w:val="20"/>
        </w:rPr>
        <w:t xml:space="preserve">”. Também de acordo com a terceira interessada, isso seria ainda mais verdadeiro quando se fala de </w:t>
      </w:r>
      <w:r w:rsidRPr="00864F7D">
        <w:rPr>
          <w:rFonts w:ascii="Arial" w:hAnsi="Arial" w:cs="Arial"/>
          <w:b/>
          <w:i/>
          <w:sz w:val="20"/>
          <w:szCs w:val="20"/>
        </w:rPr>
        <w:t>contratos com as três líderes do mercado, o que demonstra a projeção do poder de mercado a montante sobre o mercado a jusante no sentido de maior garantia de controle</w:t>
      </w:r>
      <w:r w:rsidRPr="005748D4">
        <w:rPr>
          <w:rFonts w:ascii="Arial" w:hAnsi="Arial" w:cs="Arial"/>
          <w:i/>
          <w:sz w:val="20"/>
          <w:szCs w:val="20"/>
        </w:rPr>
        <w:t xml:space="preserve">. Além disso, os </w:t>
      </w:r>
      <w:r w:rsidRPr="00864F7D">
        <w:rPr>
          <w:rFonts w:ascii="Arial" w:hAnsi="Arial" w:cs="Arial"/>
          <w:b/>
          <w:i/>
          <w:sz w:val="20"/>
          <w:szCs w:val="20"/>
        </w:rPr>
        <w:t xml:space="preserve">contratos costumam incluir obrigações de </w:t>
      </w:r>
      <w:r w:rsidRPr="00A828BA">
        <w:rPr>
          <w:rFonts w:ascii="Arial" w:hAnsi="Arial" w:cs="Arial"/>
          <w:b/>
          <w:i/>
          <w:sz w:val="20"/>
          <w:szCs w:val="20"/>
          <w:u w:val="single"/>
        </w:rPr>
        <w:t>volume mínimo</w:t>
      </w:r>
      <w:r w:rsidRPr="00864F7D">
        <w:rPr>
          <w:rFonts w:ascii="Arial" w:hAnsi="Arial" w:cs="Arial"/>
          <w:b/>
          <w:i/>
          <w:sz w:val="20"/>
          <w:szCs w:val="20"/>
        </w:rPr>
        <w:t xml:space="preserve"> a ser vendido pelo posto, porém deixam o </w:t>
      </w:r>
      <w:r w:rsidRPr="00A828BA">
        <w:rPr>
          <w:rFonts w:ascii="Arial" w:hAnsi="Arial" w:cs="Arial"/>
          <w:b/>
          <w:i/>
          <w:sz w:val="20"/>
          <w:szCs w:val="20"/>
          <w:u w:val="single"/>
        </w:rPr>
        <w:t>preço livre</w:t>
      </w:r>
      <w:r w:rsidRPr="00864F7D">
        <w:rPr>
          <w:rFonts w:ascii="Arial" w:hAnsi="Arial" w:cs="Arial"/>
          <w:b/>
          <w:i/>
          <w:sz w:val="20"/>
          <w:szCs w:val="20"/>
        </w:rPr>
        <w:t xml:space="preserve"> conforme a negociação ao longo do contrato</w:t>
      </w:r>
      <w:r w:rsidRPr="005748D4">
        <w:rPr>
          <w:rFonts w:ascii="Arial" w:hAnsi="Arial" w:cs="Arial"/>
          <w:i/>
          <w:sz w:val="20"/>
          <w:szCs w:val="20"/>
        </w:rPr>
        <w:t xml:space="preserve">. Nos modelos de </w:t>
      </w:r>
      <w:r w:rsidRPr="00864F7D">
        <w:rPr>
          <w:rFonts w:ascii="Arial" w:hAnsi="Arial" w:cs="Arial"/>
          <w:b/>
          <w:i/>
          <w:sz w:val="20"/>
          <w:szCs w:val="20"/>
        </w:rPr>
        <w:t xml:space="preserve">contrato em que o terreno do posto é de propriedade da distribuidora, há inclusive cláusulas que </w:t>
      </w:r>
      <w:r w:rsidRPr="00A828BA">
        <w:rPr>
          <w:rFonts w:ascii="Arial" w:hAnsi="Arial" w:cs="Arial"/>
          <w:b/>
          <w:i/>
          <w:sz w:val="20"/>
          <w:szCs w:val="20"/>
          <w:u w:val="single"/>
        </w:rPr>
        <w:t>vinculam o valor do aluguel à proporção de vendas</w:t>
      </w:r>
      <w:r w:rsidRPr="00864F7D">
        <w:rPr>
          <w:rFonts w:ascii="Arial" w:hAnsi="Arial" w:cs="Arial"/>
          <w:b/>
          <w:i/>
          <w:sz w:val="20"/>
          <w:szCs w:val="20"/>
        </w:rPr>
        <w:t xml:space="preserve">, </w:t>
      </w:r>
      <w:r w:rsidRPr="00A828BA">
        <w:rPr>
          <w:rFonts w:ascii="Arial" w:hAnsi="Arial" w:cs="Arial"/>
          <w:b/>
          <w:i/>
          <w:sz w:val="20"/>
          <w:szCs w:val="20"/>
          <w:u w:val="single"/>
        </w:rPr>
        <w:t>constrangendo</w:t>
      </w:r>
      <w:r w:rsidRPr="00CB0ACE">
        <w:rPr>
          <w:rFonts w:ascii="Arial" w:hAnsi="Arial" w:cs="Arial"/>
          <w:b/>
          <w:i/>
          <w:sz w:val="20"/>
          <w:szCs w:val="20"/>
        </w:rPr>
        <w:t xml:space="preserve"> ainda mais o posto quanto à variável giro</w:t>
      </w:r>
      <w:r w:rsidRPr="005748D4">
        <w:rPr>
          <w:rFonts w:ascii="Arial" w:hAnsi="Arial" w:cs="Arial"/>
          <w:i/>
          <w:sz w:val="20"/>
          <w:szCs w:val="20"/>
        </w:rPr>
        <w:t>.</w:t>
      </w:r>
    </w:p>
    <w:p w:rsidR="00864F7D" w:rsidRPr="005748D4" w:rsidRDefault="00864F7D" w:rsidP="005748D4">
      <w:pPr>
        <w:ind w:left="1416"/>
        <w:jc w:val="both"/>
        <w:rPr>
          <w:rFonts w:ascii="Arial" w:hAnsi="Arial" w:cs="Arial"/>
          <w:i/>
          <w:sz w:val="20"/>
          <w:szCs w:val="20"/>
        </w:rPr>
      </w:pPr>
    </w:p>
    <w:p w:rsidR="005748D4" w:rsidRPr="005748D4" w:rsidRDefault="005748D4" w:rsidP="005748D4">
      <w:pPr>
        <w:ind w:left="1416"/>
        <w:jc w:val="both"/>
        <w:rPr>
          <w:rFonts w:ascii="Arial" w:hAnsi="Arial" w:cs="Arial"/>
        </w:rPr>
      </w:pPr>
      <w:r w:rsidRPr="005748D4">
        <w:rPr>
          <w:rFonts w:ascii="Arial" w:hAnsi="Arial" w:cs="Arial"/>
          <w:i/>
          <w:sz w:val="20"/>
          <w:szCs w:val="20"/>
        </w:rPr>
        <w:t xml:space="preserve">261. Ou seja, </w:t>
      </w:r>
      <w:r w:rsidRPr="00864F7D">
        <w:rPr>
          <w:rFonts w:ascii="Arial" w:hAnsi="Arial" w:cs="Arial"/>
          <w:b/>
          <w:i/>
          <w:sz w:val="20"/>
          <w:szCs w:val="20"/>
        </w:rPr>
        <w:t xml:space="preserve">uma vez fidelizado, o posto – que já era extremamente sensível ao giro e ao preço de fornecimento – deve cumprir cláusulas de giro e ainda se preocupar com a negociação de preços </w:t>
      </w:r>
      <w:r w:rsidRPr="00864F7D">
        <w:rPr>
          <w:rFonts w:ascii="Arial" w:hAnsi="Arial" w:cs="Arial"/>
          <w:b/>
          <w:i/>
          <w:sz w:val="20"/>
          <w:szCs w:val="20"/>
          <w:u w:val="single"/>
        </w:rPr>
        <w:t>sem poder procurar alternativas</w:t>
      </w:r>
      <w:r w:rsidRPr="00864F7D">
        <w:rPr>
          <w:rFonts w:ascii="Arial" w:hAnsi="Arial" w:cs="Arial"/>
          <w:b/>
          <w:i/>
          <w:sz w:val="20"/>
          <w:szCs w:val="20"/>
        </w:rPr>
        <w:t xml:space="preserve"> de fornecimento no mercado</w:t>
      </w:r>
      <w:r w:rsidRPr="005748D4">
        <w:rPr>
          <w:rFonts w:ascii="Arial" w:hAnsi="Arial" w:cs="Arial"/>
          <w:i/>
          <w:sz w:val="20"/>
          <w:szCs w:val="20"/>
        </w:rPr>
        <w:t xml:space="preserve">. A distribuidora consegue, ainda, monitorar seu preço e volume de vendas. </w:t>
      </w:r>
      <w:r w:rsidRPr="00864F7D">
        <w:rPr>
          <w:rFonts w:ascii="Arial" w:hAnsi="Arial" w:cs="Arial"/>
          <w:b/>
          <w:i/>
          <w:sz w:val="20"/>
          <w:szCs w:val="20"/>
        </w:rPr>
        <w:t>Caso o posto mostre algum sinal de indisciplina, a distribuidora pode simplesmente favorecer o preço praticado a outro bandeirado – ou, no limite, um posto sem bandeira – localizado em região próxima</w:t>
      </w:r>
      <w:r w:rsidRPr="005748D4">
        <w:rPr>
          <w:rFonts w:ascii="Arial" w:hAnsi="Arial" w:cs="Arial"/>
          <w:i/>
          <w:sz w:val="20"/>
          <w:szCs w:val="20"/>
        </w:rPr>
        <w:t xml:space="preserve">. Aliás, nesse quesito, a depender da concentração no mercado local, </w:t>
      </w:r>
      <w:r w:rsidRPr="00864F7D">
        <w:rPr>
          <w:rFonts w:ascii="Arial" w:hAnsi="Arial" w:cs="Arial"/>
          <w:b/>
          <w:i/>
          <w:sz w:val="20"/>
          <w:szCs w:val="20"/>
        </w:rPr>
        <w:t xml:space="preserve">uma distribuidora pode contar também com a prática comercial de outra distribuidora para com seus postos localizados na região – mesmo tacitamente, tendo em vista os incentivos e a </w:t>
      </w:r>
      <w:r w:rsidRPr="00864F7D">
        <w:rPr>
          <w:rFonts w:ascii="Arial" w:hAnsi="Arial" w:cs="Arial"/>
          <w:b/>
          <w:i/>
          <w:sz w:val="20"/>
          <w:szCs w:val="20"/>
          <w:u w:val="single"/>
        </w:rPr>
        <w:t xml:space="preserve">facilidade que as distribuidoras têm para induzir a </w:t>
      </w:r>
      <w:r w:rsidRPr="00FC37D2">
        <w:rPr>
          <w:rFonts w:ascii="Arial" w:hAnsi="Arial" w:cs="Arial"/>
          <w:b/>
          <w:i/>
          <w:sz w:val="20"/>
          <w:szCs w:val="20"/>
          <w:u w:val="single"/>
        </w:rPr>
        <w:t>cartelização</w:t>
      </w:r>
      <w:r w:rsidRPr="00A828BA">
        <w:rPr>
          <w:rFonts w:ascii="Arial" w:hAnsi="Arial" w:cs="Arial"/>
          <w:b/>
          <w:i/>
          <w:sz w:val="20"/>
          <w:szCs w:val="20"/>
          <w:u w:val="single"/>
        </w:rPr>
        <w:t xml:space="preserve"> a jusante</w:t>
      </w:r>
      <w:r w:rsidRPr="005748D4">
        <w:rPr>
          <w:rFonts w:ascii="Arial" w:hAnsi="Arial" w:cs="Arial"/>
          <w:i/>
          <w:sz w:val="20"/>
          <w:szCs w:val="20"/>
        </w:rPr>
        <w:t xml:space="preserve">, bem como a ubiquidade da prática de monitoramento e controle de sua rede bandeirada pelas maiores distribuidoras (v. seção 6.5). Resta claro que, </w:t>
      </w:r>
      <w:r w:rsidRPr="00864F7D">
        <w:rPr>
          <w:rFonts w:ascii="Arial" w:hAnsi="Arial" w:cs="Arial"/>
          <w:b/>
          <w:i/>
          <w:sz w:val="20"/>
          <w:szCs w:val="20"/>
        </w:rPr>
        <w:t>uma vez fidelizado, o poder de barganha do posto para negociar preço é consideravelmente reduzido, sendo relevante apenas nos casos de grandes redes de revenda</w:t>
      </w:r>
      <w:r w:rsidRPr="005748D4">
        <w:rPr>
          <w:rFonts w:ascii="Arial" w:hAnsi="Arial" w:cs="Arial"/>
          <w:i/>
          <w:sz w:val="20"/>
          <w:szCs w:val="20"/>
        </w:rPr>
        <w:t xml:space="preserve">. Contudo, nesses casos, como colocado acima, </w:t>
      </w:r>
      <w:r w:rsidRPr="00864F7D">
        <w:rPr>
          <w:rFonts w:ascii="Arial" w:hAnsi="Arial" w:cs="Arial"/>
          <w:b/>
          <w:i/>
          <w:sz w:val="20"/>
          <w:szCs w:val="20"/>
        </w:rPr>
        <w:t xml:space="preserve">a distribuidora tem um incentivo de se aproximar da rede de revenda dominante e </w:t>
      </w:r>
      <w:r w:rsidRPr="00A828BA">
        <w:rPr>
          <w:rFonts w:ascii="Arial" w:hAnsi="Arial" w:cs="Arial"/>
          <w:b/>
          <w:i/>
          <w:sz w:val="20"/>
          <w:szCs w:val="20"/>
          <w:u w:val="single"/>
        </w:rPr>
        <w:t>favorec</w:t>
      </w:r>
      <w:r w:rsidR="00864F7D" w:rsidRPr="00A828BA">
        <w:rPr>
          <w:rFonts w:ascii="Arial" w:hAnsi="Arial" w:cs="Arial"/>
          <w:b/>
          <w:i/>
          <w:sz w:val="20"/>
          <w:szCs w:val="20"/>
          <w:u w:val="single"/>
        </w:rPr>
        <w:t>ê</w:t>
      </w:r>
      <w:r w:rsidRPr="00A828BA">
        <w:rPr>
          <w:rFonts w:ascii="Arial" w:hAnsi="Arial" w:cs="Arial"/>
          <w:b/>
          <w:i/>
          <w:sz w:val="20"/>
          <w:szCs w:val="20"/>
          <w:u w:val="single"/>
        </w:rPr>
        <w:t>­la</w:t>
      </w:r>
      <w:r w:rsidRPr="00864F7D">
        <w:rPr>
          <w:rFonts w:ascii="Arial" w:hAnsi="Arial" w:cs="Arial"/>
          <w:b/>
          <w:i/>
          <w:sz w:val="20"/>
          <w:szCs w:val="20"/>
        </w:rPr>
        <w:t xml:space="preserve"> em detrimento das redes menores, de modo a </w:t>
      </w:r>
      <w:r w:rsidRPr="00A828BA">
        <w:rPr>
          <w:rFonts w:ascii="Arial" w:hAnsi="Arial" w:cs="Arial"/>
          <w:b/>
          <w:i/>
          <w:sz w:val="20"/>
          <w:szCs w:val="20"/>
          <w:u w:val="single"/>
        </w:rPr>
        <w:t>alinhar seus incentivos para a formação de cartel na revenda</w:t>
      </w:r>
      <w:r w:rsidRPr="005748D4">
        <w:rPr>
          <w:rFonts w:ascii="Arial" w:hAnsi="Arial" w:cs="Arial"/>
          <w:i/>
          <w:sz w:val="20"/>
          <w:szCs w:val="20"/>
        </w:rPr>
        <w:t xml:space="preserve">. Portanto, </w:t>
      </w:r>
      <w:r w:rsidRPr="00864F7D">
        <w:rPr>
          <w:rFonts w:ascii="Arial" w:hAnsi="Arial" w:cs="Arial"/>
          <w:b/>
          <w:i/>
          <w:sz w:val="20"/>
          <w:szCs w:val="20"/>
        </w:rPr>
        <w:t>a autoridade da distribuidora de maior porte sobre sua rede se aproxima da autoridade de um agente inteiramente verticalizado</w:t>
      </w:r>
      <w:r w:rsidRPr="005748D4">
        <w:rPr>
          <w:rFonts w:ascii="Arial" w:hAnsi="Arial" w:cs="Arial"/>
          <w:i/>
          <w:sz w:val="20"/>
          <w:szCs w:val="20"/>
        </w:rPr>
        <w:t>, o que inclui a gestão de volume e preços na localidade, com ampla margem para policiar os bandeirados que eventualmente tentem desfavorecer seus ganhos via concorrência intramarca.</w:t>
      </w:r>
    </w:p>
    <w:p w:rsidR="00544F32" w:rsidRDefault="00544F32" w:rsidP="00307077">
      <w:pPr>
        <w:ind w:left="1416"/>
        <w:jc w:val="both"/>
        <w:rPr>
          <w:rFonts w:ascii="Arial" w:hAnsi="Arial" w:cs="Arial"/>
        </w:rPr>
      </w:pPr>
    </w:p>
    <w:p w:rsidR="00555D55" w:rsidRDefault="00864F7D" w:rsidP="00AC584B">
      <w:pPr>
        <w:jc w:val="both"/>
        <w:rPr>
          <w:rFonts w:ascii="Arial" w:hAnsi="Arial" w:cs="Arial"/>
        </w:rPr>
      </w:pPr>
      <w:r>
        <w:rPr>
          <w:rFonts w:ascii="Arial" w:hAnsi="Arial" w:cs="Arial"/>
        </w:rPr>
        <w:tab/>
        <w:t>Pelas ideias e conclusões apresentadas no trecho transcrito acima, não restam dúvidas quanto aos problemas à concorrência gerados pelo modelo de embandeiramento e, especialmente, pelos contratos de exclusividade decorrentes deste</w:t>
      </w:r>
      <w:r w:rsidR="004C1F52">
        <w:rPr>
          <w:rFonts w:ascii="Arial" w:hAnsi="Arial" w:cs="Arial"/>
        </w:rPr>
        <w:t xml:space="preserve"> e</w:t>
      </w:r>
      <w:r>
        <w:rPr>
          <w:rFonts w:ascii="Arial" w:hAnsi="Arial" w:cs="Arial"/>
        </w:rPr>
        <w:t xml:space="preserve"> que acabam sendo impostos aos revendedores pelas distribuidoras “dominantes”.</w:t>
      </w:r>
      <w:r w:rsidR="005F2FE5">
        <w:rPr>
          <w:rFonts w:ascii="Arial" w:hAnsi="Arial" w:cs="Arial"/>
        </w:rPr>
        <w:t xml:space="preserve"> Isso, inclusive, foi destacado pela i. SG em suas conclusões, conforme destacado na seção II, acima, e reiterado no trecho abaixo extraído de seu parecer, em que aponta os problemas competitivos existentes nas cláusulas dos contratos de exclusividade celebrados entre as distribuidoras “dominantes” e seus revendedores bandeirados, </w:t>
      </w:r>
      <w:r w:rsidR="005F2FE5">
        <w:rPr>
          <w:rFonts w:ascii="Arial" w:hAnsi="Arial" w:cs="Arial"/>
          <w:i/>
        </w:rPr>
        <w:t>in verbis</w:t>
      </w:r>
      <w:r w:rsidR="005F2FE5">
        <w:rPr>
          <w:rFonts w:ascii="Arial" w:hAnsi="Arial" w:cs="Arial"/>
        </w:rPr>
        <w:t>:</w:t>
      </w:r>
    </w:p>
    <w:p w:rsidR="005F2FE5" w:rsidRDefault="005F2FE5" w:rsidP="00AC584B">
      <w:pPr>
        <w:jc w:val="both"/>
        <w:rPr>
          <w:rFonts w:ascii="Arial" w:hAnsi="Arial" w:cs="Arial"/>
        </w:rPr>
      </w:pPr>
    </w:p>
    <w:p w:rsidR="005F2FE5" w:rsidRPr="0062658E" w:rsidRDefault="005F2FE5" w:rsidP="005F2FE5">
      <w:pPr>
        <w:ind w:left="1416"/>
        <w:jc w:val="both"/>
        <w:rPr>
          <w:rFonts w:ascii="Arial" w:hAnsi="Arial" w:cs="Arial"/>
          <w:sz w:val="20"/>
          <w:szCs w:val="20"/>
        </w:rPr>
      </w:pPr>
      <w:r w:rsidRPr="0062658E">
        <w:rPr>
          <w:rFonts w:ascii="Arial" w:hAnsi="Arial" w:cs="Arial"/>
          <w:sz w:val="20"/>
          <w:szCs w:val="20"/>
        </w:rPr>
        <w:lastRenderedPageBreak/>
        <w:t>“</w:t>
      </w:r>
      <w:r w:rsidRPr="0062658E">
        <w:rPr>
          <w:rFonts w:ascii="Arial" w:hAnsi="Arial" w:cs="Arial"/>
          <w:i/>
          <w:sz w:val="20"/>
          <w:szCs w:val="20"/>
        </w:rPr>
        <w:t xml:space="preserve">406. Buscando melhor efetivar sua capacidade de induzir a coordenação na revenda, as </w:t>
      </w:r>
      <w:r w:rsidRPr="003E4F98">
        <w:rPr>
          <w:rFonts w:ascii="Arial" w:hAnsi="Arial" w:cs="Arial"/>
          <w:b/>
          <w:i/>
          <w:sz w:val="20"/>
          <w:szCs w:val="20"/>
        </w:rPr>
        <w:t>grandes distribuidoras</w:t>
      </w:r>
      <w:r w:rsidRPr="0062658E">
        <w:rPr>
          <w:rFonts w:ascii="Arial" w:hAnsi="Arial" w:cs="Arial"/>
          <w:i/>
          <w:sz w:val="20"/>
          <w:szCs w:val="20"/>
        </w:rPr>
        <w:t xml:space="preserve"> podem se valer do controle propiciado por seus </w:t>
      </w:r>
      <w:r w:rsidRPr="003E4F98">
        <w:rPr>
          <w:rFonts w:ascii="Arial" w:hAnsi="Arial" w:cs="Arial"/>
          <w:b/>
          <w:i/>
          <w:sz w:val="20"/>
          <w:szCs w:val="20"/>
        </w:rPr>
        <w:t>contratos de embandeiramento</w:t>
      </w:r>
      <w:r w:rsidRPr="0062658E">
        <w:rPr>
          <w:rFonts w:ascii="Arial" w:hAnsi="Arial" w:cs="Arial"/>
          <w:i/>
          <w:sz w:val="20"/>
          <w:szCs w:val="20"/>
        </w:rPr>
        <w:t xml:space="preserve"> para </w:t>
      </w:r>
      <w:r w:rsidRPr="0062658E">
        <w:rPr>
          <w:rFonts w:ascii="Arial" w:hAnsi="Arial" w:cs="Arial"/>
          <w:b/>
          <w:i/>
          <w:sz w:val="20"/>
          <w:szCs w:val="20"/>
        </w:rPr>
        <w:t>reforçar substancialmente o alinhamento de incentivos já previamente existente entre a distribuição e a revenda no sentido da cartelização do mercado</w:t>
      </w:r>
      <w:r w:rsidRPr="0062658E">
        <w:rPr>
          <w:rFonts w:ascii="Arial" w:hAnsi="Arial" w:cs="Arial"/>
          <w:i/>
          <w:sz w:val="20"/>
          <w:szCs w:val="20"/>
        </w:rPr>
        <w:t xml:space="preserve">. A </w:t>
      </w:r>
      <w:r w:rsidRPr="0062658E">
        <w:rPr>
          <w:rFonts w:ascii="Arial" w:hAnsi="Arial" w:cs="Arial"/>
          <w:b/>
          <w:i/>
          <w:sz w:val="20"/>
          <w:szCs w:val="20"/>
        </w:rPr>
        <w:t>fidelização e a verticalização de fato causadas pelo embandeiramento</w:t>
      </w:r>
      <w:r w:rsidRPr="0062658E">
        <w:rPr>
          <w:rFonts w:ascii="Arial" w:hAnsi="Arial" w:cs="Arial"/>
          <w:i/>
          <w:sz w:val="20"/>
          <w:szCs w:val="20"/>
        </w:rPr>
        <w:t xml:space="preserve"> permitem </w:t>
      </w:r>
      <w:r w:rsidRPr="0062658E">
        <w:rPr>
          <w:rFonts w:ascii="Arial" w:hAnsi="Arial" w:cs="Arial"/>
          <w:b/>
          <w:i/>
          <w:sz w:val="20"/>
          <w:szCs w:val="20"/>
        </w:rPr>
        <w:t>também aumentar a fragilização dos postos e, com isso, a capacidade da distribuidora de capturar margem a jusante</w:t>
      </w:r>
      <w:r w:rsidRPr="0062658E">
        <w:rPr>
          <w:rFonts w:ascii="Arial" w:hAnsi="Arial" w:cs="Arial"/>
          <w:i/>
          <w:sz w:val="20"/>
          <w:szCs w:val="20"/>
        </w:rPr>
        <w:t xml:space="preserve">. Nas seções anteriores do presente parecer, já se ressaltaram </w:t>
      </w:r>
      <w:r w:rsidRPr="0062658E">
        <w:rPr>
          <w:rFonts w:ascii="Arial" w:hAnsi="Arial" w:cs="Arial"/>
          <w:b/>
          <w:i/>
          <w:sz w:val="20"/>
          <w:szCs w:val="20"/>
        </w:rPr>
        <w:t xml:space="preserve">algumas características dos contratos de embandeiramento que </w:t>
      </w:r>
      <w:r w:rsidRPr="0062658E">
        <w:rPr>
          <w:rFonts w:ascii="Arial" w:hAnsi="Arial" w:cs="Arial"/>
          <w:b/>
          <w:i/>
          <w:sz w:val="20"/>
          <w:szCs w:val="20"/>
          <w:u w:val="single"/>
        </w:rPr>
        <w:t>majoram a elevada assimetria</w:t>
      </w:r>
      <w:r w:rsidRPr="0062658E">
        <w:rPr>
          <w:rFonts w:ascii="Arial" w:hAnsi="Arial" w:cs="Arial"/>
          <w:b/>
          <w:sz w:val="20"/>
          <w:szCs w:val="20"/>
        </w:rPr>
        <w:t xml:space="preserve"> </w:t>
      </w:r>
      <w:r w:rsidRPr="0062658E">
        <w:rPr>
          <w:rFonts w:ascii="Arial" w:hAnsi="Arial" w:cs="Arial"/>
          <w:b/>
          <w:i/>
          <w:sz w:val="20"/>
          <w:szCs w:val="20"/>
        </w:rPr>
        <w:t xml:space="preserve">que caracteriza </w:t>
      </w:r>
      <w:r w:rsidRPr="0062658E">
        <w:rPr>
          <w:rFonts w:ascii="Arial" w:hAnsi="Arial" w:cs="Arial"/>
          <w:b/>
          <w:i/>
          <w:sz w:val="20"/>
          <w:szCs w:val="20"/>
          <w:u w:val="single"/>
        </w:rPr>
        <w:t>a relação entre distribuidora e posto</w:t>
      </w:r>
      <w:r w:rsidRPr="0062658E">
        <w:rPr>
          <w:rFonts w:ascii="Arial" w:hAnsi="Arial" w:cs="Arial"/>
          <w:b/>
          <w:i/>
          <w:sz w:val="20"/>
          <w:szCs w:val="20"/>
        </w:rPr>
        <w:t xml:space="preserve">. Com </w:t>
      </w:r>
      <w:r w:rsidRPr="0062658E">
        <w:rPr>
          <w:rFonts w:ascii="Arial" w:hAnsi="Arial" w:cs="Arial"/>
          <w:b/>
          <w:i/>
          <w:sz w:val="20"/>
          <w:szCs w:val="20"/>
          <w:u w:val="single"/>
        </w:rPr>
        <w:t>multas de rescisão proibitivas aos postos</w:t>
      </w:r>
      <w:r w:rsidRPr="0062658E">
        <w:rPr>
          <w:rFonts w:ascii="Arial" w:hAnsi="Arial" w:cs="Arial"/>
          <w:b/>
          <w:i/>
          <w:sz w:val="20"/>
          <w:szCs w:val="20"/>
        </w:rPr>
        <w:t xml:space="preserve">, os contratos duram, em média, de </w:t>
      </w:r>
      <w:r w:rsidRPr="0062658E">
        <w:rPr>
          <w:rFonts w:ascii="Arial" w:hAnsi="Arial" w:cs="Arial"/>
          <w:b/>
          <w:i/>
          <w:sz w:val="20"/>
          <w:szCs w:val="20"/>
          <w:u w:val="single"/>
        </w:rPr>
        <w:t>quatro a cinco anos</w:t>
      </w:r>
      <w:r w:rsidRPr="0062658E">
        <w:rPr>
          <w:rFonts w:ascii="Arial" w:hAnsi="Arial" w:cs="Arial"/>
          <w:b/>
          <w:i/>
          <w:sz w:val="20"/>
          <w:szCs w:val="20"/>
        </w:rPr>
        <w:t xml:space="preserve">, havendo casos em que duram até </w:t>
      </w:r>
      <w:r w:rsidRPr="0062658E">
        <w:rPr>
          <w:rFonts w:ascii="Arial" w:hAnsi="Arial" w:cs="Arial"/>
          <w:b/>
          <w:i/>
          <w:sz w:val="20"/>
          <w:szCs w:val="20"/>
          <w:u w:val="single"/>
        </w:rPr>
        <w:t>dez anos</w:t>
      </w:r>
      <w:r w:rsidRPr="0062658E">
        <w:rPr>
          <w:rFonts w:ascii="Arial" w:hAnsi="Arial" w:cs="Arial"/>
          <w:b/>
          <w:i/>
          <w:sz w:val="20"/>
          <w:szCs w:val="20"/>
        </w:rPr>
        <w:t xml:space="preserve">, e incluem </w:t>
      </w:r>
      <w:r w:rsidRPr="0062658E">
        <w:rPr>
          <w:rFonts w:ascii="Arial" w:hAnsi="Arial" w:cs="Arial"/>
          <w:b/>
          <w:i/>
          <w:sz w:val="20"/>
          <w:szCs w:val="20"/>
          <w:u w:val="single"/>
        </w:rPr>
        <w:t>cláusulas de exclusividade e de volume mínimo a ser vendido pelo posto</w:t>
      </w:r>
      <w:r w:rsidRPr="0062658E">
        <w:rPr>
          <w:rFonts w:ascii="Arial" w:hAnsi="Arial" w:cs="Arial"/>
          <w:b/>
          <w:i/>
          <w:sz w:val="20"/>
          <w:szCs w:val="20"/>
        </w:rPr>
        <w:t xml:space="preserve">. </w:t>
      </w:r>
      <w:r w:rsidRPr="0062658E">
        <w:rPr>
          <w:rFonts w:ascii="Arial" w:hAnsi="Arial" w:cs="Arial"/>
          <w:b/>
          <w:i/>
          <w:sz w:val="20"/>
          <w:szCs w:val="20"/>
          <w:u w:val="single"/>
        </w:rPr>
        <w:t>Mas</w:t>
      </w:r>
      <w:r w:rsidRPr="0062658E">
        <w:rPr>
          <w:rFonts w:ascii="Arial" w:hAnsi="Arial" w:cs="Arial"/>
          <w:b/>
          <w:i/>
          <w:sz w:val="20"/>
          <w:szCs w:val="20"/>
        </w:rPr>
        <w:t xml:space="preserve"> o </w:t>
      </w:r>
      <w:r w:rsidRPr="0062658E">
        <w:rPr>
          <w:rFonts w:ascii="Arial" w:hAnsi="Arial" w:cs="Arial"/>
          <w:b/>
          <w:i/>
          <w:sz w:val="20"/>
          <w:szCs w:val="20"/>
          <w:u w:val="single"/>
        </w:rPr>
        <w:t>preço é livre</w:t>
      </w:r>
      <w:r w:rsidRPr="0062658E">
        <w:rPr>
          <w:rFonts w:ascii="Arial" w:hAnsi="Arial" w:cs="Arial"/>
          <w:b/>
          <w:i/>
          <w:sz w:val="20"/>
          <w:szCs w:val="20"/>
        </w:rPr>
        <w:t xml:space="preserve"> – ou seja, </w:t>
      </w:r>
      <w:r w:rsidRPr="0062658E">
        <w:rPr>
          <w:rFonts w:ascii="Arial" w:hAnsi="Arial" w:cs="Arial"/>
          <w:b/>
          <w:i/>
          <w:sz w:val="20"/>
          <w:szCs w:val="20"/>
          <w:u w:val="single"/>
        </w:rPr>
        <w:t>o posto se vê obrigado a negociar preço diuturnamente com a distribuidora sem nenhuma possibilidade de recorrer a fornecimento alternativo no mercado</w:t>
      </w:r>
      <w:r w:rsidRPr="0062658E">
        <w:rPr>
          <w:rFonts w:ascii="Arial" w:hAnsi="Arial" w:cs="Arial"/>
          <w:b/>
          <w:i/>
          <w:sz w:val="20"/>
          <w:szCs w:val="20"/>
        </w:rPr>
        <w:t xml:space="preserve">, mesmo estando obrigado a dar vazão a um </w:t>
      </w:r>
      <w:r w:rsidRPr="0062658E">
        <w:rPr>
          <w:rFonts w:ascii="Arial" w:hAnsi="Arial" w:cs="Arial"/>
          <w:b/>
          <w:i/>
          <w:sz w:val="20"/>
          <w:szCs w:val="20"/>
          <w:u w:val="single"/>
        </w:rPr>
        <w:t>volume mínimo</w:t>
      </w:r>
      <w:r w:rsidRPr="0062658E">
        <w:rPr>
          <w:rFonts w:ascii="Arial" w:hAnsi="Arial" w:cs="Arial"/>
          <w:b/>
          <w:i/>
          <w:sz w:val="20"/>
          <w:szCs w:val="20"/>
        </w:rPr>
        <w:t xml:space="preserve">. Com isso, </w:t>
      </w:r>
      <w:r w:rsidRPr="0062658E">
        <w:rPr>
          <w:rFonts w:ascii="Arial" w:hAnsi="Arial" w:cs="Arial"/>
          <w:b/>
          <w:i/>
          <w:sz w:val="20"/>
          <w:szCs w:val="20"/>
          <w:u w:val="single"/>
        </w:rPr>
        <w:t>a distribuidora pode favorecer seus postos mais ‘comportados’ e retaliar os postos desviantes de uma mesma região</w:t>
      </w:r>
      <w:r w:rsidRPr="0062658E">
        <w:rPr>
          <w:rFonts w:ascii="Arial" w:hAnsi="Arial" w:cs="Arial"/>
          <w:sz w:val="20"/>
          <w:szCs w:val="20"/>
        </w:rPr>
        <w:t>”. (Destacamos, p. 66 da Parecer nº 1/2017/CGAA4/SGA1/SG – SEI 0297660</w:t>
      </w:r>
      <w:r w:rsidRPr="0062658E">
        <w:rPr>
          <w:rStyle w:val="Refdenotaderodap"/>
          <w:rFonts w:ascii="Arial" w:hAnsi="Arial" w:cs="Arial"/>
          <w:sz w:val="20"/>
          <w:szCs w:val="20"/>
        </w:rPr>
        <w:footnoteReference w:id="44"/>
      </w:r>
      <w:r w:rsidRPr="0062658E">
        <w:rPr>
          <w:rFonts w:ascii="Arial" w:hAnsi="Arial" w:cs="Arial"/>
          <w:sz w:val="20"/>
          <w:szCs w:val="20"/>
        </w:rPr>
        <w:t xml:space="preserve">) </w:t>
      </w:r>
    </w:p>
    <w:p w:rsidR="005F2FE5" w:rsidRPr="005F2FE5" w:rsidRDefault="005F2FE5" w:rsidP="00AC584B">
      <w:pPr>
        <w:jc w:val="both"/>
        <w:rPr>
          <w:rFonts w:ascii="Arial" w:hAnsi="Arial" w:cs="Arial"/>
        </w:rPr>
      </w:pPr>
    </w:p>
    <w:p w:rsidR="00864F7D" w:rsidRDefault="005F2FE5" w:rsidP="00AC584B">
      <w:pPr>
        <w:jc w:val="both"/>
        <w:rPr>
          <w:rFonts w:ascii="Arial" w:hAnsi="Arial" w:cs="Arial"/>
        </w:rPr>
      </w:pPr>
      <w:r>
        <w:rPr>
          <w:rFonts w:ascii="Arial" w:hAnsi="Arial" w:cs="Arial"/>
        </w:rPr>
        <w:tab/>
      </w:r>
      <w:r w:rsidR="002A378D">
        <w:rPr>
          <w:rFonts w:ascii="Arial" w:hAnsi="Arial" w:cs="Arial"/>
        </w:rPr>
        <w:t xml:space="preserve">É interessante citar ainda a análise e comentários apresentados no voto vencedor do Conselheiro-Relator, João Paulo de Resende, </w:t>
      </w:r>
      <w:r w:rsidR="00067F64">
        <w:rPr>
          <w:rFonts w:ascii="Arial" w:hAnsi="Arial" w:cs="Arial"/>
        </w:rPr>
        <w:t xml:space="preserve">proferido em razão do julgamento desse </w:t>
      </w:r>
      <w:r w:rsidR="002A378D">
        <w:rPr>
          <w:rFonts w:ascii="Arial" w:hAnsi="Arial" w:cs="Arial"/>
        </w:rPr>
        <w:t xml:space="preserve">mesmo Ato de Concentração </w:t>
      </w:r>
      <w:r w:rsidR="00067F64">
        <w:rPr>
          <w:rFonts w:ascii="Arial" w:hAnsi="Arial" w:cs="Arial"/>
        </w:rPr>
        <w:t xml:space="preserve">e </w:t>
      </w:r>
      <w:r w:rsidR="002A378D">
        <w:rPr>
          <w:rFonts w:ascii="Arial" w:hAnsi="Arial" w:cs="Arial"/>
        </w:rPr>
        <w:t xml:space="preserve">que </w:t>
      </w:r>
      <w:r w:rsidR="00067F64">
        <w:rPr>
          <w:rFonts w:ascii="Arial" w:hAnsi="Arial" w:cs="Arial"/>
        </w:rPr>
        <w:t xml:space="preserve">reprovou </w:t>
      </w:r>
      <w:r w:rsidR="002A378D">
        <w:rPr>
          <w:rFonts w:ascii="Arial" w:hAnsi="Arial" w:cs="Arial"/>
        </w:rPr>
        <w:t>a aquisição da Alesat pela Ipiranga.</w:t>
      </w:r>
    </w:p>
    <w:p w:rsidR="002A378D" w:rsidRDefault="002A378D" w:rsidP="00AC584B">
      <w:pPr>
        <w:jc w:val="both"/>
        <w:rPr>
          <w:rFonts w:ascii="Arial" w:hAnsi="Arial" w:cs="Arial"/>
        </w:rPr>
      </w:pPr>
    </w:p>
    <w:p w:rsidR="002A378D" w:rsidRDefault="002A378D" w:rsidP="00AC584B">
      <w:pPr>
        <w:jc w:val="both"/>
        <w:rPr>
          <w:rFonts w:ascii="Arial" w:hAnsi="Arial" w:cs="Arial"/>
        </w:rPr>
      </w:pPr>
      <w:r>
        <w:rPr>
          <w:rFonts w:ascii="Arial" w:hAnsi="Arial" w:cs="Arial"/>
        </w:rPr>
        <w:tab/>
        <w:t>Especificamente em relação aos contratos de exclusividade, o Conselheiro Resende fez uma breve digressão sobre as decisões do CADE em operações passadas envolvendo o segmento de distribuição de combustíveis líquidos</w:t>
      </w:r>
      <w:r w:rsidR="003B7185">
        <w:rPr>
          <w:rFonts w:ascii="Arial" w:hAnsi="Arial" w:cs="Arial"/>
        </w:rPr>
        <w:t>,</w:t>
      </w:r>
      <w:r>
        <w:rPr>
          <w:rFonts w:ascii="Arial" w:hAnsi="Arial" w:cs="Arial"/>
        </w:rPr>
        <w:t xml:space="preserve"> destacando, por exemplo, que:</w:t>
      </w:r>
    </w:p>
    <w:p w:rsidR="002A378D" w:rsidRPr="002A378D" w:rsidRDefault="002A378D" w:rsidP="00AC584B">
      <w:pPr>
        <w:jc w:val="both"/>
        <w:rPr>
          <w:rFonts w:ascii="Arial" w:hAnsi="Arial" w:cs="Arial"/>
          <w:sz w:val="20"/>
          <w:szCs w:val="20"/>
        </w:rPr>
      </w:pPr>
    </w:p>
    <w:p w:rsidR="002A378D" w:rsidRDefault="002A378D" w:rsidP="002A378D">
      <w:pPr>
        <w:ind w:left="1416"/>
        <w:jc w:val="both"/>
        <w:rPr>
          <w:rFonts w:ascii="Arial" w:hAnsi="Arial" w:cs="Arial"/>
          <w:sz w:val="20"/>
          <w:szCs w:val="20"/>
        </w:rPr>
      </w:pPr>
      <w:r w:rsidRPr="002A378D">
        <w:rPr>
          <w:rFonts w:ascii="Arial" w:hAnsi="Arial" w:cs="Arial"/>
          <w:sz w:val="20"/>
          <w:szCs w:val="20"/>
        </w:rPr>
        <w:t>“</w:t>
      </w:r>
      <w:r w:rsidRPr="002A378D">
        <w:rPr>
          <w:rFonts w:ascii="Arial" w:hAnsi="Arial" w:cs="Arial"/>
          <w:i/>
          <w:sz w:val="20"/>
          <w:szCs w:val="20"/>
        </w:rPr>
        <w:t xml:space="preserve">33. Percebe-se que, em geral, o CADE vem aprovando os atos de concentração no setor de distribuição de combustíveis sem restrições ou com a </w:t>
      </w:r>
      <w:r w:rsidRPr="002A378D">
        <w:rPr>
          <w:rFonts w:ascii="Arial" w:hAnsi="Arial" w:cs="Arial"/>
          <w:b/>
          <w:i/>
          <w:sz w:val="20"/>
          <w:szCs w:val="20"/>
        </w:rPr>
        <w:t>aplicação de remédios focados exclusivamente na revenda</w:t>
      </w:r>
      <w:r w:rsidRPr="002A378D">
        <w:rPr>
          <w:rFonts w:ascii="Arial" w:hAnsi="Arial" w:cs="Arial"/>
          <w:i/>
          <w:sz w:val="20"/>
          <w:szCs w:val="20"/>
        </w:rPr>
        <w:t xml:space="preserve">, na forma de </w:t>
      </w:r>
      <w:r w:rsidRPr="002A378D">
        <w:rPr>
          <w:rFonts w:ascii="Arial" w:hAnsi="Arial" w:cs="Arial"/>
          <w:b/>
          <w:i/>
          <w:sz w:val="20"/>
          <w:szCs w:val="20"/>
          <w:u w:val="single"/>
        </w:rPr>
        <w:t>flexibilização contratual para o distrato por parte de postos</w:t>
      </w:r>
      <w:r w:rsidRPr="002A378D">
        <w:rPr>
          <w:rFonts w:ascii="Arial" w:hAnsi="Arial" w:cs="Arial"/>
          <w:b/>
          <w:i/>
          <w:sz w:val="20"/>
          <w:szCs w:val="20"/>
        </w:rPr>
        <w:t xml:space="preserve"> em municípios com forte sobreposição</w:t>
      </w:r>
      <w:r w:rsidRPr="002A378D">
        <w:rPr>
          <w:rFonts w:ascii="Arial" w:hAnsi="Arial" w:cs="Arial"/>
          <w:i/>
          <w:sz w:val="20"/>
          <w:szCs w:val="20"/>
        </w:rPr>
        <w:t xml:space="preserve">. Houve apenas uma decisão em que foi aplicado remédio estrutural, na forma de alienação de uma base de distribuição no DF, na operação entre BR e Ipiranga em 2007. De lá pra cá, </w:t>
      </w:r>
      <w:r w:rsidRPr="002A378D">
        <w:rPr>
          <w:rFonts w:ascii="Arial" w:hAnsi="Arial" w:cs="Arial"/>
          <w:b/>
          <w:i/>
          <w:sz w:val="20"/>
          <w:szCs w:val="20"/>
        </w:rPr>
        <w:t>o mercado de grandes distribuidoras nacionais se enxugou de sete para três</w:t>
      </w:r>
      <w:r w:rsidRPr="002A378D">
        <w:rPr>
          <w:rFonts w:ascii="Arial" w:hAnsi="Arial" w:cs="Arial"/>
          <w:i/>
          <w:sz w:val="20"/>
          <w:szCs w:val="20"/>
        </w:rPr>
        <w:t>, principalmente com a saída das estrangeiras AGIP, TEXACO, ESSO e REPSOL</w:t>
      </w:r>
      <w:r>
        <w:rPr>
          <w:rFonts w:ascii="Arial" w:hAnsi="Arial" w:cs="Arial"/>
          <w:sz w:val="20"/>
          <w:szCs w:val="20"/>
        </w:rPr>
        <w:t>”</w:t>
      </w:r>
      <w:r w:rsidRPr="002A378D">
        <w:rPr>
          <w:rFonts w:ascii="Arial" w:hAnsi="Arial" w:cs="Arial"/>
          <w:sz w:val="20"/>
          <w:szCs w:val="20"/>
        </w:rPr>
        <w:t xml:space="preserve">. </w:t>
      </w:r>
      <w:r>
        <w:rPr>
          <w:rFonts w:ascii="Arial" w:hAnsi="Arial" w:cs="Arial"/>
          <w:sz w:val="20"/>
          <w:szCs w:val="20"/>
        </w:rPr>
        <w:t>(Destacamos)</w:t>
      </w:r>
    </w:p>
    <w:p w:rsidR="002A378D" w:rsidRDefault="002A378D" w:rsidP="002A378D">
      <w:pPr>
        <w:ind w:left="1416"/>
        <w:jc w:val="both"/>
        <w:rPr>
          <w:rFonts w:ascii="Arial" w:hAnsi="Arial" w:cs="Arial"/>
          <w:sz w:val="20"/>
          <w:szCs w:val="20"/>
        </w:rPr>
      </w:pPr>
    </w:p>
    <w:p w:rsidR="002A378D" w:rsidRDefault="002A378D" w:rsidP="002A378D">
      <w:pPr>
        <w:jc w:val="both"/>
        <w:rPr>
          <w:rFonts w:ascii="Arial" w:hAnsi="Arial" w:cs="Arial"/>
        </w:rPr>
      </w:pPr>
      <w:r>
        <w:rPr>
          <w:rFonts w:ascii="Arial" w:hAnsi="Arial" w:cs="Arial"/>
        </w:rPr>
        <w:tab/>
        <w:t>Por este trecho, fica clar</w:t>
      </w:r>
      <w:r w:rsidR="003B7185">
        <w:rPr>
          <w:rFonts w:ascii="Arial" w:hAnsi="Arial" w:cs="Arial"/>
        </w:rPr>
        <w:t>o</w:t>
      </w:r>
      <w:r>
        <w:rPr>
          <w:rFonts w:ascii="Arial" w:hAnsi="Arial" w:cs="Arial"/>
        </w:rPr>
        <w:t xml:space="preserve">, não somente a preocupação do CADE em relação aos contratos de exclusividade, como, principalmente, </w:t>
      </w:r>
      <w:r w:rsidR="003B7185">
        <w:rPr>
          <w:rFonts w:ascii="Arial" w:hAnsi="Arial" w:cs="Arial"/>
        </w:rPr>
        <w:t xml:space="preserve">quanto à </w:t>
      </w:r>
      <w:r>
        <w:rPr>
          <w:rFonts w:ascii="Arial" w:hAnsi="Arial" w:cs="Arial"/>
        </w:rPr>
        <w:t xml:space="preserve">elevação de poder de mercado por parte das distribuidoras titulares, especialmente as três nacionais remanescentes, </w:t>
      </w:r>
      <w:r w:rsidR="003B7185">
        <w:rPr>
          <w:rFonts w:ascii="Arial" w:hAnsi="Arial" w:cs="Arial"/>
        </w:rPr>
        <w:t>e o impacto negativo dos contratos celebrados por essas distribuidoras</w:t>
      </w:r>
      <w:r>
        <w:rPr>
          <w:rFonts w:ascii="Arial" w:hAnsi="Arial" w:cs="Arial"/>
        </w:rPr>
        <w:t xml:space="preserve"> no ambiente concorrencial e competitivo do mercado brasileiro.</w:t>
      </w:r>
    </w:p>
    <w:p w:rsidR="002A378D" w:rsidRDefault="002A378D" w:rsidP="002A378D">
      <w:pPr>
        <w:jc w:val="both"/>
        <w:rPr>
          <w:rFonts w:ascii="Arial" w:hAnsi="Arial" w:cs="Arial"/>
        </w:rPr>
      </w:pPr>
    </w:p>
    <w:p w:rsidR="002A378D" w:rsidRDefault="002A378D" w:rsidP="002A378D">
      <w:pPr>
        <w:jc w:val="both"/>
        <w:rPr>
          <w:rFonts w:ascii="Arial" w:hAnsi="Arial" w:cs="Arial"/>
        </w:rPr>
      </w:pPr>
      <w:r>
        <w:rPr>
          <w:rFonts w:ascii="Arial" w:hAnsi="Arial" w:cs="Arial"/>
        </w:rPr>
        <w:tab/>
        <w:t xml:space="preserve">Corroborando o entendimento apresentado pela i. SG, o Conselheiro Resende destaca e confirma ainda em seu voto ser entendimento do Tribunal do </w:t>
      </w:r>
      <w:r>
        <w:rPr>
          <w:rFonts w:ascii="Arial" w:hAnsi="Arial" w:cs="Arial"/>
        </w:rPr>
        <w:lastRenderedPageBreak/>
        <w:t>CADE de que os contratos de exclusividade, dos mais diferentes tipos existentes no setor, criam um</w:t>
      </w:r>
      <w:r w:rsidR="003B7185">
        <w:rPr>
          <w:rFonts w:ascii="Arial" w:hAnsi="Arial" w:cs="Arial"/>
        </w:rPr>
        <w:t>a</w:t>
      </w:r>
      <w:r>
        <w:rPr>
          <w:rFonts w:ascii="Arial" w:hAnsi="Arial" w:cs="Arial"/>
        </w:rPr>
        <w:t xml:space="preserve"> “</w:t>
      </w:r>
      <w:r>
        <w:rPr>
          <w:rFonts w:ascii="Arial" w:hAnsi="Arial" w:cs="Arial"/>
          <w:b/>
          <w:u w:val="single"/>
        </w:rPr>
        <w:t>verticalização de fato</w:t>
      </w:r>
      <w:r>
        <w:rPr>
          <w:rFonts w:ascii="Arial" w:hAnsi="Arial" w:cs="Arial"/>
        </w:rPr>
        <w:t xml:space="preserve"> entre as distribuidoras e os postos revendedores embandeirados”, ressaltando que “a verticalização propriamente dita é </w:t>
      </w:r>
      <w:r>
        <w:rPr>
          <w:rFonts w:ascii="Arial" w:hAnsi="Arial" w:cs="Arial"/>
          <w:b/>
        </w:rPr>
        <w:t>proibida pela re</w:t>
      </w:r>
      <w:r w:rsidR="009769A6">
        <w:rPr>
          <w:rFonts w:ascii="Arial" w:hAnsi="Arial" w:cs="Arial"/>
          <w:b/>
        </w:rPr>
        <w:t>gulação</w:t>
      </w:r>
      <w:r w:rsidR="009769A6">
        <w:rPr>
          <w:rFonts w:ascii="Arial" w:hAnsi="Arial" w:cs="Arial"/>
        </w:rPr>
        <w:t xml:space="preserve">”. Ou seja, o Conselheiro-Relator aponta que, </w:t>
      </w:r>
      <w:r w:rsidR="003B7185">
        <w:rPr>
          <w:rFonts w:ascii="Arial" w:hAnsi="Arial" w:cs="Arial"/>
        </w:rPr>
        <w:t xml:space="preserve">segundo </w:t>
      </w:r>
      <w:r w:rsidR="009769A6">
        <w:rPr>
          <w:rFonts w:ascii="Arial" w:hAnsi="Arial" w:cs="Arial"/>
        </w:rPr>
        <w:t xml:space="preserve">a regulação atual, “as distribuidoras não podem exercer atividade de revenda e não podem ter em seu quadro de sócios pessoas jurídicas autorizadas a exercer esta atividade”. Logo, ainda segundo </w:t>
      </w:r>
      <w:r w:rsidR="003B7185">
        <w:rPr>
          <w:rFonts w:ascii="Arial" w:hAnsi="Arial" w:cs="Arial"/>
        </w:rPr>
        <w:t>ele</w:t>
      </w:r>
      <w:r w:rsidR="009769A6">
        <w:rPr>
          <w:rFonts w:ascii="Arial" w:hAnsi="Arial" w:cs="Arial"/>
        </w:rPr>
        <w:t>, “n</w:t>
      </w:r>
      <w:r w:rsidR="009769A6" w:rsidRPr="009769A6">
        <w:rPr>
          <w:rFonts w:ascii="Arial" w:hAnsi="Arial" w:cs="Arial"/>
        </w:rPr>
        <w:t>ão havendo verticalização de fato, a mercado seria o de distribuição e os clientes deste mercado os postos revendedores</w:t>
      </w:r>
      <w:r w:rsidR="009769A6">
        <w:rPr>
          <w:rFonts w:ascii="Arial" w:hAnsi="Arial" w:cs="Arial"/>
        </w:rPr>
        <w:t>”</w:t>
      </w:r>
      <w:r w:rsidR="009769A6" w:rsidRPr="009769A6">
        <w:rPr>
          <w:rFonts w:ascii="Arial" w:hAnsi="Arial" w:cs="Arial"/>
        </w:rPr>
        <w:t>.</w:t>
      </w:r>
    </w:p>
    <w:p w:rsidR="009769A6" w:rsidRDefault="009769A6" w:rsidP="002A378D">
      <w:pPr>
        <w:jc w:val="both"/>
        <w:rPr>
          <w:rFonts w:ascii="Arial" w:hAnsi="Arial" w:cs="Arial"/>
        </w:rPr>
      </w:pPr>
    </w:p>
    <w:p w:rsidR="009769A6" w:rsidRDefault="009769A6" w:rsidP="002A378D">
      <w:pPr>
        <w:jc w:val="both"/>
        <w:rPr>
          <w:rFonts w:ascii="Arial" w:hAnsi="Arial" w:cs="Arial"/>
        </w:rPr>
      </w:pPr>
      <w:r>
        <w:rPr>
          <w:rFonts w:ascii="Arial" w:hAnsi="Arial" w:cs="Arial"/>
        </w:rPr>
        <w:tab/>
        <w:t>Reiter</w:t>
      </w:r>
      <w:r w:rsidR="003B7185">
        <w:rPr>
          <w:rFonts w:ascii="Arial" w:hAnsi="Arial" w:cs="Arial"/>
        </w:rPr>
        <w:t>ou</w:t>
      </w:r>
      <w:r>
        <w:rPr>
          <w:rFonts w:ascii="Arial" w:hAnsi="Arial" w:cs="Arial"/>
        </w:rPr>
        <w:t xml:space="preserve"> ainda em seu voto a posição da SG em relação ao elevado grau de interdependência entre distribuidora e revendedores bandeirados decorrente desses contratos de exclusividade</w:t>
      </w:r>
      <w:r w:rsidR="003B7185">
        <w:rPr>
          <w:rFonts w:ascii="Arial" w:hAnsi="Arial" w:cs="Arial"/>
        </w:rPr>
        <w:t>; interdependência esta</w:t>
      </w:r>
      <w:r>
        <w:rPr>
          <w:rFonts w:ascii="Arial" w:hAnsi="Arial" w:cs="Arial"/>
        </w:rPr>
        <w:t xml:space="preserve"> que acarretaria problemas anticompetitivos, especialmente associados à</w:t>
      </w:r>
      <w:r w:rsidR="00CA31A3">
        <w:rPr>
          <w:rFonts w:ascii="Arial" w:hAnsi="Arial" w:cs="Arial"/>
        </w:rPr>
        <w:t xml:space="preserve"> redução da competição entre postos embandeirados e, portanto,</w:t>
      </w:r>
      <w:r>
        <w:rPr>
          <w:rFonts w:ascii="Arial" w:hAnsi="Arial" w:cs="Arial"/>
        </w:rPr>
        <w:t xml:space="preserve"> </w:t>
      </w:r>
      <w:r w:rsidR="00CA31A3">
        <w:rPr>
          <w:rFonts w:ascii="Arial" w:hAnsi="Arial" w:cs="Arial"/>
        </w:rPr>
        <w:t xml:space="preserve">a </w:t>
      </w:r>
      <w:r>
        <w:rPr>
          <w:rFonts w:ascii="Arial" w:hAnsi="Arial" w:cs="Arial"/>
        </w:rPr>
        <w:t xml:space="preserve">facilitação na coordenação de estratégias </w:t>
      </w:r>
      <w:r w:rsidR="003B7185">
        <w:rPr>
          <w:rFonts w:ascii="Arial" w:hAnsi="Arial" w:cs="Arial"/>
        </w:rPr>
        <w:t>entre distribuidora e revendedores par</w:t>
      </w:r>
      <w:r>
        <w:rPr>
          <w:rFonts w:ascii="Arial" w:hAnsi="Arial" w:cs="Arial"/>
        </w:rPr>
        <w:t xml:space="preserve">a </w:t>
      </w:r>
      <w:r w:rsidR="003B7185">
        <w:rPr>
          <w:rFonts w:ascii="Arial" w:hAnsi="Arial" w:cs="Arial"/>
        </w:rPr>
        <w:t xml:space="preserve">a </w:t>
      </w:r>
      <w:r>
        <w:rPr>
          <w:rFonts w:ascii="Arial" w:hAnsi="Arial" w:cs="Arial"/>
        </w:rPr>
        <w:t xml:space="preserve">implementação </w:t>
      </w:r>
      <w:r w:rsidR="003B7185">
        <w:rPr>
          <w:rFonts w:ascii="Arial" w:hAnsi="Arial" w:cs="Arial"/>
        </w:rPr>
        <w:t xml:space="preserve">e perenidade </w:t>
      </w:r>
      <w:r>
        <w:rPr>
          <w:rFonts w:ascii="Arial" w:hAnsi="Arial" w:cs="Arial"/>
        </w:rPr>
        <w:t xml:space="preserve">de práticas cartelizadoras, </w:t>
      </w:r>
      <w:r>
        <w:rPr>
          <w:rFonts w:ascii="Arial" w:hAnsi="Arial" w:cs="Arial"/>
          <w:i/>
        </w:rPr>
        <w:t>in verbis</w:t>
      </w:r>
      <w:r>
        <w:rPr>
          <w:rFonts w:ascii="Arial" w:hAnsi="Arial" w:cs="Arial"/>
        </w:rPr>
        <w:t xml:space="preserve">: </w:t>
      </w:r>
    </w:p>
    <w:p w:rsidR="009769A6" w:rsidRPr="009769A6" w:rsidRDefault="009769A6" w:rsidP="002A378D">
      <w:pPr>
        <w:jc w:val="both"/>
        <w:rPr>
          <w:rFonts w:ascii="Arial" w:hAnsi="Arial" w:cs="Arial"/>
          <w:sz w:val="20"/>
          <w:szCs w:val="20"/>
        </w:rPr>
      </w:pPr>
    </w:p>
    <w:p w:rsidR="009769A6" w:rsidRPr="009769A6" w:rsidRDefault="009769A6" w:rsidP="009769A6">
      <w:pPr>
        <w:ind w:left="1416"/>
        <w:jc w:val="both"/>
        <w:rPr>
          <w:rFonts w:ascii="Arial" w:hAnsi="Arial" w:cs="Arial"/>
          <w:i/>
          <w:sz w:val="20"/>
          <w:szCs w:val="20"/>
        </w:rPr>
      </w:pPr>
      <w:r w:rsidRPr="009769A6">
        <w:rPr>
          <w:rFonts w:ascii="Arial" w:hAnsi="Arial" w:cs="Arial"/>
          <w:i/>
          <w:sz w:val="20"/>
          <w:szCs w:val="20"/>
        </w:rPr>
        <w:t xml:space="preserve">41. A SG, no entanto, reforçou o entendimento de que a distribuidora possui </w:t>
      </w:r>
      <w:r w:rsidRPr="009769A6">
        <w:rPr>
          <w:rFonts w:ascii="Arial" w:hAnsi="Arial" w:cs="Arial"/>
          <w:b/>
          <w:i/>
          <w:sz w:val="20"/>
          <w:szCs w:val="20"/>
          <w:u w:val="single"/>
        </w:rPr>
        <w:t>influência decisiva</w:t>
      </w:r>
      <w:r w:rsidRPr="009769A6">
        <w:rPr>
          <w:rFonts w:ascii="Arial" w:hAnsi="Arial" w:cs="Arial"/>
          <w:i/>
          <w:sz w:val="20"/>
          <w:szCs w:val="20"/>
        </w:rPr>
        <w:t xml:space="preserve"> na formulação da estratégia comercial dos postos pertencentes a sua bandeira, em </w:t>
      </w:r>
      <w:r w:rsidRPr="009769A6">
        <w:rPr>
          <w:rFonts w:ascii="Arial" w:hAnsi="Arial" w:cs="Arial"/>
          <w:b/>
          <w:i/>
          <w:sz w:val="20"/>
          <w:szCs w:val="20"/>
        </w:rPr>
        <w:t>decorrência dos direitos contratuais de fornecimento exclusivo, de licença de uso da marca e de comodato de equipamentos</w:t>
      </w:r>
      <w:r w:rsidRPr="009769A6">
        <w:rPr>
          <w:rFonts w:ascii="Arial" w:hAnsi="Arial" w:cs="Arial"/>
          <w:i/>
          <w:sz w:val="20"/>
          <w:szCs w:val="20"/>
        </w:rPr>
        <w:t xml:space="preserve">. </w:t>
      </w:r>
      <w:r w:rsidRPr="009769A6">
        <w:rPr>
          <w:rFonts w:ascii="Arial" w:hAnsi="Arial" w:cs="Arial"/>
          <w:b/>
          <w:i/>
          <w:sz w:val="20"/>
          <w:szCs w:val="20"/>
        </w:rPr>
        <w:t>Essa influência poderia ser exercida pela distribuidora no sentido de diminuir a competição entre os postos embandeirados na concorrência local</w:t>
      </w:r>
      <w:r w:rsidRPr="009769A6">
        <w:rPr>
          <w:rFonts w:ascii="Arial" w:hAnsi="Arial" w:cs="Arial"/>
          <w:i/>
          <w:sz w:val="20"/>
          <w:szCs w:val="20"/>
        </w:rPr>
        <w:t>. Consta do parecer da SG (SEI 0297809) citação de decisão anterior desse Tribunal cujo trecho segue abaixo transcrito:</w:t>
      </w:r>
    </w:p>
    <w:p w:rsidR="00CA31A3" w:rsidRDefault="00CA31A3" w:rsidP="00CA31A3">
      <w:pPr>
        <w:ind w:left="2124"/>
        <w:jc w:val="both"/>
        <w:rPr>
          <w:rFonts w:ascii="Arial" w:hAnsi="Arial" w:cs="Arial"/>
          <w:i/>
          <w:sz w:val="20"/>
          <w:szCs w:val="20"/>
        </w:rPr>
      </w:pPr>
    </w:p>
    <w:p w:rsidR="009769A6" w:rsidRPr="009769A6" w:rsidRDefault="00CA31A3" w:rsidP="00CA31A3">
      <w:pPr>
        <w:ind w:left="2124"/>
        <w:jc w:val="both"/>
        <w:rPr>
          <w:rFonts w:ascii="Arial" w:hAnsi="Arial" w:cs="Arial"/>
          <w:i/>
          <w:sz w:val="20"/>
          <w:szCs w:val="20"/>
        </w:rPr>
      </w:pPr>
      <w:r>
        <w:rPr>
          <w:rFonts w:ascii="Arial" w:hAnsi="Arial" w:cs="Arial"/>
          <w:i/>
          <w:sz w:val="20"/>
          <w:szCs w:val="20"/>
        </w:rPr>
        <w:t>‘</w:t>
      </w:r>
      <w:r w:rsidR="009769A6" w:rsidRPr="009769A6">
        <w:rPr>
          <w:rFonts w:ascii="Arial" w:hAnsi="Arial" w:cs="Arial"/>
          <w:i/>
          <w:sz w:val="20"/>
          <w:szCs w:val="20"/>
        </w:rPr>
        <w:t xml:space="preserve">a relação distribuidora e posto revendedor se assemelharia à de controle compartilhado, com a peculiaridade de que o espaço para decisões de política comercial de um dos "controladores" (o "gerente" do negócio) está pré-estruturado pelas decisões do outro, e as decisões do primeiro são constantemente monitoradas pelo segundo. Tal compreensão decorre do fato de que, ainda que, por razões de natureza regulatória, distribuidores de combustível líquido não possam ser proprietários de postos revendedores. Assim, </w:t>
      </w:r>
      <w:r w:rsidR="009769A6" w:rsidRPr="00CA31A3">
        <w:rPr>
          <w:rFonts w:ascii="Arial" w:hAnsi="Arial" w:cs="Arial"/>
          <w:b/>
          <w:i/>
          <w:sz w:val="20"/>
          <w:szCs w:val="20"/>
        </w:rPr>
        <w:t>o poder de fixar preços/quantidades e a propriedade sobre ativos importantes, tais como a marca, fazem do distribuidor uma espécie de "controlador conjunto" do posto revendedor, mais precisamente, um agente dotado de capacidade de direcionar as decisões do proprietário tendo em vista a realização dos seus</w:t>
      </w:r>
      <w:r w:rsidR="009769A6" w:rsidRPr="009769A6">
        <w:rPr>
          <w:rFonts w:ascii="Arial" w:hAnsi="Arial" w:cs="Arial"/>
          <w:i/>
          <w:sz w:val="20"/>
          <w:szCs w:val="20"/>
        </w:rPr>
        <w:t xml:space="preserve"> - i. e., do distribuidor - </w:t>
      </w:r>
      <w:r w:rsidR="009769A6" w:rsidRPr="00CA31A3">
        <w:rPr>
          <w:rFonts w:ascii="Arial" w:hAnsi="Arial" w:cs="Arial"/>
          <w:b/>
          <w:i/>
          <w:sz w:val="20"/>
          <w:szCs w:val="20"/>
        </w:rPr>
        <w:t>interesses, não se podendo excluir a possibilidade de que, sob certas circunstâncias, os interesses individuais do distribuidor não estejam alinhados aos interesses individuais do proprietário formal do estabelecimento revendedor</w:t>
      </w:r>
      <w:r w:rsidR="009769A6" w:rsidRPr="009769A6">
        <w:rPr>
          <w:rFonts w:ascii="Arial" w:hAnsi="Arial" w:cs="Arial"/>
          <w:i/>
          <w:sz w:val="20"/>
          <w:szCs w:val="20"/>
        </w:rPr>
        <w:t>.</w:t>
      </w:r>
      <w:r>
        <w:rPr>
          <w:rFonts w:ascii="Arial" w:hAnsi="Arial" w:cs="Arial"/>
          <w:i/>
          <w:sz w:val="20"/>
          <w:szCs w:val="20"/>
        </w:rPr>
        <w:t>’</w:t>
      </w:r>
      <w:r w:rsidR="009769A6" w:rsidRPr="009769A6">
        <w:rPr>
          <w:rFonts w:ascii="Arial" w:hAnsi="Arial" w:cs="Arial"/>
          <w:i/>
          <w:sz w:val="20"/>
          <w:szCs w:val="20"/>
        </w:rPr>
        <w:t xml:space="preserve"> (Voto do Conselheiro-Relator Vinícius Marques de Carvalho no Ato de Concentração no 08012.002820/2007-93, p. 42, sem grifos no original)</w:t>
      </w:r>
    </w:p>
    <w:p w:rsidR="00CA31A3" w:rsidRDefault="00CA31A3" w:rsidP="009769A6">
      <w:pPr>
        <w:ind w:left="1416"/>
        <w:jc w:val="both"/>
        <w:rPr>
          <w:rFonts w:ascii="Arial" w:hAnsi="Arial" w:cs="Arial"/>
          <w:i/>
          <w:sz w:val="20"/>
          <w:szCs w:val="20"/>
        </w:rPr>
      </w:pPr>
    </w:p>
    <w:p w:rsidR="00CA31A3" w:rsidRDefault="009769A6" w:rsidP="009769A6">
      <w:pPr>
        <w:ind w:left="1416"/>
        <w:jc w:val="both"/>
        <w:rPr>
          <w:rFonts w:ascii="Arial" w:hAnsi="Arial" w:cs="Arial"/>
          <w:i/>
          <w:sz w:val="20"/>
          <w:szCs w:val="20"/>
        </w:rPr>
      </w:pPr>
      <w:r w:rsidRPr="009769A6">
        <w:rPr>
          <w:rFonts w:ascii="Arial" w:hAnsi="Arial" w:cs="Arial"/>
          <w:i/>
          <w:sz w:val="20"/>
          <w:szCs w:val="20"/>
        </w:rPr>
        <w:t xml:space="preserve">42. Ainda de acordo com a SG </w:t>
      </w:r>
      <w:r w:rsidR="00CA31A3">
        <w:rPr>
          <w:rFonts w:ascii="Arial" w:hAnsi="Arial" w:cs="Arial"/>
          <w:i/>
          <w:sz w:val="20"/>
          <w:szCs w:val="20"/>
        </w:rPr>
        <w:t>‘</w:t>
      </w:r>
      <w:r w:rsidRPr="009769A6">
        <w:rPr>
          <w:rFonts w:ascii="Arial" w:hAnsi="Arial" w:cs="Arial"/>
          <w:i/>
          <w:sz w:val="20"/>
          <w:szCs w:val="20"/>
        </w:rPr>
        <w:t xml:space="preserve">não há dúvidas de que </w:t>
      </w:r>
      <w:r w:rsidRPr="00CA31A3">
        <w:rPr>
          <w:rFonts w:ascii="Arial" w:hAnsi="Arial" w:cs="Arial"/>
          <w:b/>
          <w:i/>
          <w:sz w:val="20"/>
          <w:szCs w:val="20"/>
        </w:rPr>
        <w:t>a interdependência entre postos bandeirados e distribuidoras é substancial</w:t>
      </w:r>
      <w:r w:rsidRPr="009769A6">
        <w:rPr>
          <w:rFonts w:ascii="Arial" w:hAnsi="Arial" w:cs="Arial"/>
          <w:i/>
          <w:sz w:val="20"/>
          <w:szCs w:val="20"/>
        </w:rPr>
        <w:t xml:space="preserve">, existindo para fins de análise concorrencial uma </w:t>
      </w:r>
      <w:r w:rsidRPr="00CA31A3">
        <w:rPr>
          <w:rFonts w:ascii="Arial" w:hAnsi="Arial" w:cs="Arial"/>
          <w:b/>
          <w:i/>
          <w:sz w:val="20"/>
          <w:szCs w:val="20"/>
        </w:rPr>
        <w:t>verticalização de fato das bandeiras</w:t>
      </w:r>
      <w:r w:rsidRPr="009769A6">
        <w:rPr>
          <w:rFonts w:ascii="Arial" w:hAnsi="Arial" w:cs="Arial"/>
          <w:i/>
          <w:sz w:val="20"/>
          <w:szCs w:val="20"/>
        </w:rPr>
        <w:t xml:space="preserve">. Por esse motivo, e também pela grande </w:t>
      </w:r>
      <w:r w:rsidRPr="00CA31A3">
        <w:rPr>
          <w:rFonts w:ascii="Arial" w:hAnsi="Arial" w:cs="Arial"/>
          <w:b/>
          <w:i/>
          <w:sz w:val="20"/>
          <w:szCs w:val="20"/>
        </w:rPr>
        <w:t>relevância do consumo cativo</w:t>
      </w:r>
      <w:r w:rsidRPr="009769A6">
        <w:rPr>
          <w:rFonts w:ascii="Arial" w:hAnsi="Arial" w:cs="Arial"/>
          <w:i/>
          <w:sz w:val="20"/>
          <w:szCs w:val="20"/>
        </w:rPr>
        <w:t xml:space="preserve">, esta SG entende que a presente operação enseja não só a sobreposição horizontal entre as bandeiras das Requerentes, como também </w:t>
      </w:r>
      <w:r w:rsidRPr="00CA31A3">
        <w:rPr>
          <w:rFonts w:ascii="Arial" w:hAnsi="Arial" w:cs="Arial"/>
          <w:b/>
          <w:i/>
          <w:sz w:val="20"/>
          <w:szCs w:val="20"/>
        </w:rPr>
        <w:t>a integração vertical entre, de um lado, as atividades de distribuição das Requerentes e, de outro, suas atividades de revenda</w:t>
      </w:r>
      <w:r w:rsidR="00CA31A3" w:rsidRPr="00CA31A3">
        <w:rPr>
          <w:rFonts w:ascii="Arial" w:hAnsi="Arial" w:cs="Arial"/>
          <w:i/>
          <w:sz w:val="20"/>
          <w:szCs w:val="20"/>
        </w:rPr>
        <w:t>’</w:t>
      </w:r>
    </w:p>
    <w:p w:rsidR="00CA31A3" w:rsidRDefault="00CA31A3" w:rsidP="009769A6">
      <w:pPr>
        <w:ind w:left="1416"/>
        <w:jc w:val="both"/>
        <w:rPr>
          <w:rFonts w:ascii="Arial" w:hAnsi="Arial" w:cs="Arial"/>
          <w:sz w:val="20"/>
          <w:szCs w:val="20"/>
        </w:rPr>
      </w:pPr>
    </w:p>
    <w:p w:rsidR="00CA31A3" w:rsidRDefault="00CA31A3" w:rsidP="00CA31A3">
      <w:pPr>
        <w:ind w:left="1416"/>
        <w:jc w:val="both"/>
        <w:rPr>
          <w:rFonts w:ascii="Arial" w:hAnsi="Arial" w:cs="Arial"/>
          <w:sz w:val="20"/>
          <w:szCs w:val="20"/>
        </w:rPr>
      </w:pPr>
      <w:r>
        <w:rPr>
          <w:rFonts w:ascii="Arial" w:hAnsi="Arial" w:cs="Arial"/>
          <w:sz w:val="20"/>
          <w:szCs w:val="20"/>
        </w:rPr>
        <w:t>...............................................................................................................................</w:t>
      </w:r>
    </w:p>
    <w:p w:rsidR="00CA31A3" w:rsidRDefault="00CA31A3" w:rsidP="009769A6">
      <w:pPr>
        <w:ind w:left="1416"/>
        <w:jc w:val="both"/>
        <w:rPr>
          <w:rFonts w:ascii="Arial" w:hAnsi="Arial" w:cs="Arial"/>
          <w:sz w:val="20"/>
          <w:szCs w:val="20"/>
        </w:rPr>
      </w:pPr>
    </w:p>
    <w:p w:rsidR="00CA31A3" w:rsidRPr="00CA31A3" w:rsidRDefault="00CA31A3" w:rsidP="00CA31A3">
      <w:pPr>
        <w:ind w:left="1416"/>
        <w:jc w:val="both"/>
        <w:rPr>
          <w:rFonts w:ascii="Arial" w:hAnsi="Arial" w:cs="Arial"/>
          <w:i/>
          <w:sz w:val="20"/>
          <w:szCs w:val="20"/>
        </w:rPr>
      </w:pPr>
      <w:r w:rsidRPr="00CA31A3">
        <w:rPr>
          <w:rFonts w:ascii="Arial" w:hAnsi="Arial" w:cs="Arial"/>
          <w:i/>
          <w:sz w:val="20"/>
          <w:szCs w:val="20"/>
        </w:rPr>
        <w:t xml:space="preserve">46. Em síntese, </w:t>
      </w:r>
      <w:r w:rsidRPr="00CA31A3">
        <w:rPr>
          <w:rFonts w:ascii="Arial" w:hAnsi="Arial" w:cs="Arial"/>
          <w:b/>
          <w:i/>
          <w:sz w:val="20"/>
          <w:szCs w:val="20"/>
        </w:rPr>
        <w:t>existe, de fato</w:t>
      </w:r>
      <w:r w:rsidRPr="00CA31A3">
        <w:rPr>
          <w:rFonts w:ascii="Arial" w:hAnsi="Arial" w:cs="Arial"/>
          <w:i/>
          <w:sz w:val="20"/>
          <w:szCs w:val="20"/>
        </w:rPr>
        <w:t xml:space="preserve">, como entende a SG, </w:t>
      </w:r>
      <w:r w:rsidRPr="00CA31A3">
        <w:rPr>
          <w:rFonts w:ascii="Arial" w:hAnsi="Arial" w:cs="Arial"/>
          <w:b/>
          <w:i/>
          <w:sz w:val="20"/>
          <w:szCs w:val="20"/>
        </w:rPr>
        <w:t xml:space="preserve">uma significativa influência das distribuidoras nas decisões comerciais dos postos embandeirados, principalmente em razão dos </w:t>
      </w:r>
      <w:r w:rsidRPr="00A828BA">
        <w:rPr>
          <w:rFonts w:ascii="Arial" w:hAnsi="Arial" w:cs="Arial"/>
          <w:b/>
          <w:i/>
          <w:sz w:val="20"/>
          <w:szCs w:val="20"/>
          <w:u w:val="single"/>
        </w:rPr>
        <w:t>contratos de embandeiramento</w:t>
      </w:r>
      <w:r w:rsidRPr="00CA31A3">
        <w:rPr>
          <w:rFonts w:ascii="Arial" w:hAnsi="Arial" w:cs="Arial"/>
          <w:i/>
          <w:sz w:val="20"/>
          <w:szCs w:val="20"/>
        </w:rPr>
        <w:t xml:space="preserve">, </w:t>
      </w:r>
      <w:r w:rsidRPr="00CA31A3">
        <w:rPr>
          <w:rFonts w:ascii="Arial" w:hAnsi="Arial" w:cs="Arial"/>
          <w:b/>
          <w:i/>
          <w:sz w:val="20"/>
          <w:szCs w:val="20"/>
        </w:rPr>
        <w:t>e durante a sua vigência</w:t>
      </w:r>
      <w:r w:rsidR="003B7185">
        <w:rPr>
          <w:rFonts w:ascii="Arial" w:hAnsi="Arial" w:cs="Arial"/>
          <w:b/>
          <w:i/>
          <w:sz w:val="20"/>
          <w:szCs w:val="20"/>
        </w:rPr>
        <w:t xml:space="preserve"> (...)</w:t>
      </w:r>
      <w:r w:rsidRPr="00CA31A3">
        <w:rPr>
          <w:rFonts w:ascii="Arial" w:hAnsi="Arial" w:cs="Arial"/>
          <w:i/>
          <w:sz w:val="20"/>
          <w:szCs w:val="20"/>
        </w:rPr>
        <w:t>.</w:t>
      </w:r>
    </w:p>
    <w:p w:rsidR="00CA31A3" w:rsidRDefault="00CA31A3" w:rsidP="00CA31A3">
      <w:pPr>
        <w:ind w:left="1416"/>
        <w:jc w:val="both"/>
        <w:rPr>
          <w:rFonts w:ascii="Arial" w:hAnsi="Arial" w:cs="Arial"/>
          <w:i/>
          <w:sz w:val="20"/>
          <w:szCs w:val="20"/>
        </w:rPr>
      </w:pPr>
    </w:p>
    <w:p w:rsidR="009769A6" w:rsidRPr="009769A6" w:rsidRDefault="00CA31A3" w:rsidP="00CA31A3">
      <w:pPr>
        <w:ind w:left="1416"/>
        <w:jc w:val="both"/>
        <w:rPr>
          <w:rFonts w:ascii="Arial" w:hAnsi="Arial" w:cs="Arial"/>
          <w:sz w:val="20"/>
          <w:szCs w:val="20"/>
        </w:rPr>
      </w:pPr>
      <w:r w:rsidRPr="00CA31A3">
        <w:rPr>
          <w:rFonts w:ascii="Arial" w:hAnsi="Arial" w:cs="Arial"/>
          <w:i/>
          <w:sz w:val="20"/>
          <w:szCs w:val="20"/>
        </w:rPr>
        <w:t xml:space="preserve">47. </w:t>
      </w:r>
      <w:r w:rsidRPr="00CA31A3">
        <w:rPr>
          <w:rFonts w:ascii="Arial" w:hAnsi="Arial" w:cs="Arial"/>
          <w:b/>
          <w:i/>
          <w:sz w:val="20"/>
          <w:szCs w:val="20"/>
        </w:rPr>
        <w:t>Isto não significa dizer que o segmento de revenda não seja importante para a avaliação da presente operação</w:t>
      </w:r>
      <w:r w:rsidRPr="00CA31A3">
        <w:rPr>
          <w:rFonts w:ascii="Arial" w:hAnsi="Arial" w:cs="Arial"/>
          <w:i/>
          <w:sz w:val="20"/>
          <w:szCs w:val="20"/>
        </w:rPr>
        <w:t xml:space="preserve">. Como veremos mais adiante, a </w:t>
      </w:r>
      <w:r w:rsidRPr="00A828BA">
        <w:rPr>
          <w:rFonts w:ascii="Arial" w:hAnsi="Arial" w:cs="Arial"/>
          <w:b/>
          <w:i/>
          <w:sz w:val="20"/>
          <w:szCs w:val="20"/>
          <w:u w:val="single"/>
        </w:rPr>
        <w:t>influência exercida pelas distribuidoras</w:t>
      </w:r>
      <w:r w:rsidRPr="00CA31A3">
        <w:rPr>
          <w:rFonts w:ascii="Arial" w:hAnsi="Arial" w:cs="Arial"/>
          <w:b/>
          <w:i/>
          <w:sz w:val="20"/>
          <w:szCs w:val="20"/>
        </w:rPr>
        <w:t xml:space="preserve"> nos postos revendedores </w:t>
      </w:r>
      <w:r w:rsidRPr="00A828BA">
        <w:rPr>
          <w:rFonts w:ascii="Arial" w:hAnsi="Arial" w:cs="Arial"/>
          <w:b/>
          <w:i/>
          <w:sz w:val="20"/>
          <w:szCs w:val="20"/>
          <w:u w:val="single"/>
        </w:rPr>
        <w:t>deve</w:t>
      </w:r>
      <w:r w:rsidRPr="00CA31A3">
        <w:rPr>
          <w:rFonts w:ascii="Arial" w:hAnsi="Arial" w:cs="Arial"/>
          <w:b/>
          <w:i/>
          <w:sz w:val="20"/>
          <w:szCs w:val="20"/>
        </w:rPr>
        <w:t xml:space="preserve">, </w:t>
      </w:r>
      <w:r w:rsidRPr="00A828BA">
        <w:rPr>
          <w:rFonts w:ascii="Arial" w:hAnsi="Arial" w:cs="Arial"/>
          <w:b/>
          <w:i/>
          <w:sz w:val="20"/>
          <w:szCs w:val="20"/>
          <w:u w:val="single"/>
        </w:rPr>
        <w:t>sim</w:t>
      </w:r>
      <w:r w:rsidRPr="00CA31A3">
        <w:rPr>
          <w:rFonts w:ascii="Arial" w:hAnsi="Arial" w:cs="Arial"/>
          <w:b/>
          <w:i/>
          <w:sz w:val="20"/>
          <w:szCs w:val="20"/>
        </w:rPr>
        <w:t xml:space="preserve">, ser considerada na análise de rivalidade no mercado de distribuição e na análise de </w:t>
      </w:r>
      <w:r w:rsidRPr="00CA31A3">
        <w:rPr>
          <w:rFonts w:ascii="Arial" w:hAnsi="Arial" w:cs="Arial"/>
          <w:b/>
          <w:i/>
          <w:sz w:val="20"/>
          <w:szCs w:val="20"/>
          <w:u w:val="single"/>
        </w:rPr>
        <w:t>poder coordenado</w:t>
      </w:r>
      <w:r w:rsidRPr="00CA31A3">
        <w:rPr>
          <w:rFonts w:ascii="Arial" w:hAnsi="Arial" w:cs="Arial"/>
          <w:b/>
          <w:i/>
          <w:sz w:val="20"/>
          <w:szCs w:val="20"/>
        </w:rPr>
        <w:t xml:space="preserve"> nos mercados de distribuição e revenda</w:t>
      </w:r>
      <w:r w:rsidRPr="00CA31A3">
        <w:rPr>
          <w:rFonts w:ascii="Arial" w:hAnsi="Arial" w:cs="Arial"/>
          <w:i/>
          <w:sz w:val="20"/>
          <w:szCs w:val="20"/>
        </w:rPr>
        <w:t xml:space="preserve">. O ponto aqui defendido é, simplesmente, que </w:t>
      </w:r>
      <w:r w:rsidRPr="00CA31A3">
        <w:rPr>
          <w:rFonts w:ascii="Arial" w:hAnsi="Arial" w:cs="Arial"/>
          <w:b/>
          <w:i/>
          <w:sz w:val="20"/>
          <w:szCs w:val="20"/>
        </w:rPr>
        <w:t>o poder de mercado das Requerentes decorre de seu posicionamento no mercado de distribuição, originalmente</w:t>
      </w:r>
      <w:r w:rsidRPr="00CA31A3">
        <w:rPr>
          <w:rFonts w:ascii="Arial" w:hAnsi="Arial" w:cs="Arial"/>
          <w:i/>
          <w:sz w:val="20"/>
          <w:szCs w:val="20"/>
        </w:rPr>
        <w:t xml:space="preserve">, sendo </w:t>
      </w:r>
      <w:r w:rsidRPr="00CA31A3">
        <w:rPr>
          <w:rFonts w:ascii="Arial" w:hAnsi="Arial" w:cs="Arial"/>
          <w:b/>
          <w:i/>
          <w:sz w:val="20"/>
          <w:szCs w:val="20"/>
        </w:rPr>
        <w:t>a rede de postos de revenda uma complementação de suas estratégias de atuação</w:t>
      </w:r>
      <w:r w:rsidRPr="00CA31A3">
        <w:rPr>
          <w:rFonts w:ascii="Arial" w:hAnsi="Arial" w:cs="Arial"/>
          <w:i/>
          <w:sz w:val="20"/>
          <w:szCs w:val="20"/>
        </w:rPr>
        <w:t>, e não o mercado relevante de análise concorrencial em si.</w:t>
      </w:r>
      <w:r w:rsidR="009769A6" w:rsidRPr="009769A6">
        <w:rPr>
          <w:rFonts w:ascii="Arial" w:hAnsi="Arial" w:cs="Arial"/>
          <w:sz w:val="20"/>
          <w:szCs w:val="20"/>
        </w:rPr>
        <w:t>”.</w:t>
      </w:r>
      <w:r>
        <w:rPr>
          <w:rFonts w:ascii="Arial" w:hAnsi="Arial" w:cs="Arial"/>
          <w:sz w:val="20"/>
          <w:szCs w:val="20"/>
        </w:rPr>
        <w:t xml:space="preserve"> (Destacamos)</w:t>
      </w:r>
    </w:p>
    <w:p w:rsidR="00912DF1" w:rsidRDefault="00171568" w:rsidP="00AC584B">
      <w:pPr>
        <w:jc w:val="both"/>
        <w:rPr>
          <w:rFonts w:ascii="Arial" w:hAnsi="Arial" w:cs="Arial"/>
        </w:rPr>
      </w:pPr>
      <w:r>
        <w:rPr>
          <w:rFonts w:ascii="Arial" w:hAnsi="Arial" w:cs="Arial"/>
        </w:rPr>
        <w:tab/>
      </w:r>
    </w:p>
    <w:p w:rsidR="002F6AF4" w:rsidRDefault="00CA31A3" w:rsidP="002F6AF4">
      <w:pPr>
        <w:jc w:val="both"/>
        <w:rPr>
          <w:rFonts w:ascii="Arial" w:hAnsi="Arial" w:cs="Arial"/>
        </w:rPr>
      </w:pPr>
      <w:r>
        <w:rPr>
          <w:rFonts w:ascii="Arial" w:hAnsi="Arial" w:cs="Arial"/>
        </w:rPr>
        <w:tab/>
        <w:t xml:space="preserve">Especificamente em relação </w:t>
      </w:r>
      <w:r w:rsidR="002F6AF4">
        <w:rPr>
          <w:rFonts w:ascii="Arial" w:hAnsi="Arial" w:cs="Arial"/>
        </w:rPr>
        <w:t>ao efeito indutor da prática de cartel decorrente dos contratos de exclusividade, o Conselheiro Resende</w:t>
      </w:r>
      <w:r w:rsidR="003B7185">
        <w:rPr>
          <w:rFonts w:ascii="Arial" w:hAnsi="Arial" w:cs="Arial"/>
        </w:rPr>
        <w:t>,</w:t>
      </w:r>
      <w:r w:rsidR="002F6AF4">
        <w:rPr>
          <w:rFonts w:ascii="Arial" w:hAnsi="Arial" w:cs="Arial"/>
        </w:rPr>
        <w:t xml:space="preserve"> ao listar “as características propícias à colusão” (item 96 de seu voto), destaca, por exemplo</w:t>
      </w:r>
      <w:r w:rsidR="003B7185">
        <w:rPr>
          <w:rFonts w:ascii="Arial" w:hAnsi="Arial" w:cs="Arial"/>
        </w:rPr>
        <w:t>, que</w:t>
      </w:r>
      <w:r w:rsidR="002F6AF4">
        <w:rPr>
          <w:rFonts w:ascii="Arial" w:hAnsi="Arial" w:cs="Arial"/>
        </w:rPr>
        <w:t xml:space="preserve">: </w:t>
      </w:r>
    </w:p>
    <w:p w:rsidR="002F6AF4" w:rsidRDefault="002F6AF4" w:rsidP="002F6AF4">
      <w:pPr>
        <w:jc w:val="both"/>
        <w:rPr>
          <w:rFonts w:ascii="Arial" w:hAnsi="Arial" w:cs="Arial"/>
          <w:sz w:val="20"/>
          <w:szCs w:val="20"/>
        </w:rPr>
      </w:pPr>
    </w:p>
    <w:p w:rsidR="002F6AF4" w:rsidRPr="002F6AF4" w:rsidRDefault="002F6AF4" w:rsidP="002F6AF4">
      <w:pPr>
        <w:ind w:left="1416"/>
        <w:jc w:val="both"/>
        <w:rPr>
          <w:rFonts w:ascii="Arial" w:hAnsi="Arial" w:cs="Arial"/>
          <w:i/>
          <w:sz w:val="20"/>
          <w:szCs w:val="20"/>
        </w:rPr>
      </w:pPr>
      <w:r w:rsidRPr="002F6AF4">
        <w:rPr>
          <w:rFonts w:ascii="Arial" w:hAnsi="Arial" w:cs="Arial"/>
          <w:sz w:val="20"/>
          <w:szCs w:val="20"/>
        </w:rPr>
        <w:t>“</w:t>
      </w:r>
      <w:r w:rsidRPr="002F6AF4">
        <w:rPr>
          <w:rFonts w:ascii="Arial" w:hAnsi="Arial" w:cs="Arial"/>
          <w:i/>
          <w:sz w:val="20"/>
          <w:szCs w:val="20"/>
        </w:rPr>
        <w:t xml:space="preserve">5. </w:t>
      </w:r>
      <w:r w:rsidRPr="002F6AF4">
        <w:rPr>
          <w:rFonts w:ascii="Arial" w:hAnsi="Arial" w:cs="Arial"/>
          <w:b/>
          <w:i/>
          <w:sz w:val="20"/>
          <w:szCs w:val="20"/>
        </w:rPr>
        <w:t>reduzido poder de compra de clientes</w:t>
      </w:r>
      <w:r w:rsidRPr="002F6AF4">
        <w:rPr>
          <w:rFonts w:ascii="Arial" w:hAnsi="Arial" w:cs="Arial"/>
          <w:i/>
          <w:sz w:val="20"/>
          <w:szCs w:val="20"/>
        </w:rPr>
        <w:t xml:space="preserve">: os postos de revenda são relativamente frágeis perante as distribuidoras, principalmente durante os períodos de </w:t>
      </w:r>
      <w:r w:rsidRPr="002F6AF4">
        <w:rPr>
          <w:rFonts w:ascii="Arial" w:hAnsi="Arial" w:cs="Arial"/>
          <w:b/>
          <w:i/>
          <w:sz w:val="20"/>
          <w:szCs w:val="20"/>
        </w:rPr>
        <w:t>vigência do contrato de embandeiramento</w:t>
      </w:r>
      <w:r w:rsidRPr="002F6AF4">
        <w:rPr>
          <w:rFonts w:ascii="Arial" w:hAnsi="Arial" w:cs="Arial"/>
          <w:i/>
          <w:sz w:val="20"/>
          <w:szCs w:val="20"/>
        </w:rPr>
        <w:t>;</w:t>
      </w:r>
    </w:p>
    <w:p w:rsidR="002F6AF4" w:rsidRPr="002F6AF4" w:rsidRDefault="002F6AF4" w:rsidP="002F6AF4">
      <w:pPr>
        <w:ind w:left="1416"/>
        <w:jc w:val="both"/>
        <w:rPr>
          <w:rFonts w:ascii="Arial" w:hAnsi="Arial" w:cs="Arial"/>
          <w:i/>
          <w:sz w:val="20"/>
          <w:szCs w:val="20"/>
        </w:rPr>
      </w:pPr>
      <w:r w:rsidRPr="002F6AF4">
        <w:rPr>
          <w:rFonts w:ascii="Arial" w:hAnsi="Arial" w:cs="Arial"/>
          <w:i/>
          <w:sz w:val="20"/>
          <w:szCs w:val="20"/>
        </w:rPr>
        <w:t xml:space="preserve">6. </w:t>
      </w:r>
      <w:r w:rsidRPr="002F6AF4">
        <w:rPr>
          <w:rFonts w:ascii="Arial" w:hAnsi="Arial" w:cs="Arial"/>
          <w:b/>
          <w:i/>
          <w:sz w:val="20"/>
          <w:szCs w:val="20"/>
        </w:rPr>
        <w:t>ordens frequentes e pequenas</w:t>
      </w:r>
      <w:r w:rsidRPr="002F6AF4">
        <w:rPr>
          <w:rFonts w:ascii="Arial" w:hAnsi="Arial" w:cs="Arial"/>
          <w:i/>
          <w:sz w:val="20"/>
          <w:szCs w:val="20"/>
        </w:rPr>
        <w:t>: isso ocorre tendo em vista o</w:t>
      </w:r>
      <w:r w:rsidRPr="002F6AF4">
        <w:rPr>
          <w:rFonts w:ascii="Arial" w:hAnsi="Arial" w:cs="Arial"/>
          <w:b/>
          <w:i/>
          <w:sz w:val="20"/>
          <w:szCs w:val="20"/>
        </w:rPr>
        <w:t>s limites de capacidade de armazenamento nos tanques dos postos revendedores e sua constante necessidade de giro de estoques</w:t>
      </w:r>
      <w:r w:rsidRPr="002F6AF4">
        <w:rPr>
          <w:rFonts w:ascii="Arial" w:hAnsi="Arial" w:cs="Arial"/>
          <w:i/>
          <w:sz w:val="20"/>
          <w:szCs w:val="20"/>
        </w:rPr>
        <w:t>;</w:t>
      </w:r>
    </w:p>
    <w:p w:rsidR="002F6AF4" w:rsidRPr="002F6AF4" w:rsidRDefault="002F6AF4" w:rsidP="002F6AF4">
      <w:pPr>
        <w:ind w:left="1416"/>
        <w:jc w:val="both"/>
        <w:rPr>
          <w:rFonts w:ascii="Arial" w:hAnsi="Arial" w:cs="Arial"/>
          <w:i/>
          <w:sz w:val="20"/>
          <w:szCs w:val="20"/>
        </w:rPr>
      </w:pPr>
      <w:r w:rsidRPr="002F6AF4">
        <w:rPr>
          <w:rFonts w:ascii="Arial" w:hAnsi="Arial" w:cs="Arial"/>
          <w:i/>
          <w:sz w:val="20"/>
          <w:szCs w:val="20"/>
        </w:rPr>
        <w:t xml:space="preserve">7. </w:t>
      </w:r>
      <w:r w:rsidRPr="002F6AF4">
        <w:rPr>
          <w:rFonts w:ascii="Arial" w:hAnsi="Arial" w:cs="Arial"/>
          <w:b/>
          <w:i/>
          <w:sz w:val="20"/>
          <w:szCs w:val="20"/>
        </w:rPr>
        <w:t>baixa elasticidade da demanda</w:t>
      </w:r>
      <w:r w:rsidRPr="002F6AF4">
        <w:rPr>
          <w:rFonts w:ascii="Arial" w:hAnsi="Arial" w:cs="Arial"/>
          <w:i/>
          <w:sz w:val="20"/>
          <w:szCs w:val="20"/>
        </w:rPr>
        <w:t xml:space="preserve"> do mercado: a cesta de combustíveis tem demanda reconhecidamente inelástica, isso tem reflexos tanto na revenda quanto na distribuição;</w:t>
      </w:r>
    </w:p>
    <w:p w:rsidR="002F6AF4" w:rsidRPr="002F6AF4" w:rsidRDefault="002F6AF4" w:rsidP="002F6AF4">
      <w:pPr>
        <w:ind w:left="1416"/>
        <w:jc w:val="both"/>
        <w:rPr>
          <w:rFonts w:ascii="Arial" w:hAnsi="Arial" w:cs="Arial"/>
          <w:i/>
          <w:sz w:val="20"/>
          <w:szCs w:val="20"/>
        </w:rPr>
      </w:pPr>
      <w:r w:rsidRPr="002F6AF4">
        <w:rPr>
          <w:rFonts w:ascii="Arial" w:hAnsi="Arial" w:cs="Arial"/>
          <w:i/>
          <w:sz w:val="20"/>
          <w:szCs w:val="20"/>
        </w:rPr>
        <w:t xml:space="preserve">8. </w:t>
      </w:r>
      <w:r w:rsidRPr="002F6AF4">
        <w:rPr>
          <w:rFonts w:ascii="Arial" w:hAnsi="Arial" w:cs="Arial"/>
          <w:b/>
          <w:i/>
          <w:sz w:val="20"/>
          <w:szCs w:val="20"/>
        </w:rPr>
        <w:t>estabilidade tecnológica de produtos e processos</w:t>
      </w:r>
      <w:r w:rsidRPr="002F6AF4">
        <w:rPr>
          <w:rFonts w:ascii="Arial" w:hAnsi="Arial" w:cs="Arial"/>
          <w:i/>
          <w:sz w:val="20"/>
          <w:szCs w:val="20"/>
        </w:rPr>
        <w:t xml:space="preserve">: praticamente </w:t>
      </w:r>
      <w:r w:rsidRPr="002F6AF4">
        <w:rPr>
          <w:rFonts w:ascii="Arial" w:hAnsi="Arial" w:cs="Arial"/>
          <w:b/>
          <w:i/>
          <w:sz w:val="20"/>
          <w:szCs w:val="20"/>
        </w:rPr>
        <w:t>não existem inovações tecnológicas</w:t>
      </w:r>
      <w:r w:rsidRPr="002F6AF4">
        <w:rPr>
          <w:rFonts w:ascii="Arial" w:hAnsi="Arial" w:cs="Arial"/>
          <w:i/>
          <w:sz w:val="20"/>
          <w:szCs w:val="20"/>
        </w:rPr>
        <w:t xml:space="preserve"> relevantes nesse mercado;</w:t>
      </w:r>
    </w:p>
    <w:p w:rsidR="005A2012" w:rsidRDefault="002F6AF4" w:rsidP="002F6AF4">
      <w:pPr>
        <w:ind w:left="1416"/>
        <w:jc w:val="both"/>
        <w:rPr>
          <w:rFonts w:ascii="Arial" w:hAnsi="Arial" w:cs="Arial"/>
          <w:sz w:val="20"/>
          <w:szCs w:val="20"/>
        </w:rPr>
      </w:pPr>
      <w:r w:rsidRPr="002F6AF4">
        <w:rPr>
          <w:rFonts w:ascii="Arial" w:hAnsi="Arial" w:cs="Arial"/>
          <w:i/>
          <w:sz w:val="20"/>
          <w:szCs w:val="20"/>
        </w:rPr>
        <w:t xml:space="preserve">9. maturidade do mercado e previsibilidade da demanda: </w:t>
      </w:r>
      <w:r w:rsidRPr="005A2012">
        <w:rPr>
          <w:rFonts w:ascii="Arial" w:hAnsi="Arial" w:cs="Arial"/>
          <w:b/>
          <w:i/>
          <w:sz w:val="20"/>
          <w:szCs w:val="20"/>
        </w:rPr>
        <w:t>o mercado se encontra em estágio de maturidade</w:t>
      </w:r>
      <w:r w:rsidRPr="002F6AF4">
        <w:rPr>
          <w:rFonts w:ascii="Arial" w:hAnsi="Arial" w:cs="Arial"/>
          <w:sz w:val="20"/>
          <w:szCs w:val="20"/>
        </w:rPr>
        <w:t>;</w:t>
      </w:r>
    </w:p>
    <w:p w:rsidR="005A2012" w:rsidRPr="005A2012" w:rsidRDefault="005A2012" w:rsidP="005A2012">
      <w:pPr>
        <w:ind w:left="1416"/>
        <w:jc w:val="both"/>
        <w:rPr>
          <w:rFonts w:ascii="Arial" w:hAnsi="Arial" w:cs="Arial"/>
          <w:i/>
          <w:sz w:val="20"/>
          <w:szCs w:val="20"/>
        </w:rPr>
      </w:pPr>
      <w:r w:rsidRPr="005A2012">
        <w:rPr>
          <w:rFonts w:ascii="Arial" w:hAnsi="Arial" w:cs="Arial"/>
          <w:i/>
          <w:sz w:val="20"/>
          <w:szCs w:val="20"/>
        </w:rPr>
        <w:t xml:space="preserve">10. </w:t>
      </w:r>
      <w:r w:rsidRPr="005A2012">
        <w:rPr>
          <w:rFonts w:ascii="Arial" w:hAnsi="Arial" w:cs="Arial"/>
          <w:b/>
          <w:i/>
          <w:sz w:val="20"/>
          <w:szCs w:val="20"/>
        </w:rPr>
        <w:t>ausência de formas de conduta de precificação mais agressiva e não comprometidas com a cooperação</w:t>
      </w:r>
      <w:r w:rsidRPr="005A2012">
        <w:rPr>
          <w:rFonts w:ascii="Arial" w:hAnsi="Arial" w:cs="Arial"/>
          <w:i/>
          <w:sz w:val="20"/>
          <w:szCs w:val="20"/>
        </w:rPr>
        <w:t xml:space="preserve"> (</w:t>
      </w:r>
      <w:r>
        <w:rPr>
          <w:rFonts w:ascii="Arial" w:hAnsi="Arial" w:cs="Arial"/>
          <w:i/>
          <w:sz w:val="20"/>
          <w:szCs w:val="20"/>
        </w:rPr>
        <w:t>Mavericks) (...)</w:t>
      </w:r>
      <w:r w:rsidRPr="005A2012">
        <w:rPr>
          <w:rFonts w:ascii="Arial" w:hAnsi="Arial" w:cs="Arial"/>
          <w:i/>
          <w:sz w:val="20"/>
          <w:szCs w:val="20"/>
        </w:rPr>
        <w:t>;</w:t>
      </w:r>
    </w:p>
    <w:p w:rsidR="005A2012" w:rsidRPr="005A2012" w:rsidRDefault="005A2012" w:rsidP="005A2012">
      <w:pPr>
        <w:ind w:left="1416"/>
        <w:jc w:val="both"/>
        <w:rPr>
          <w:rFonts w:ascii="Arial" w:hAnsi="Arial" w:cs="Arial"/>
          <w:i/>
          <w:sz w:val="20"/>
          <w:szCs w:val="20"/>
        </w:rPr>
      </w:pPr>
      <w:r w:rsidRPr="005A2012">
        <w:rPr>
          <w:rFonts w:ascii="Arial" w:hAnsi="Arial" w:cs="Arial"/>
          <w:i/>
          <w:sz w:val="20"/>
          <w:szCs w:val="20"/>
        </w:rPr>
        <w:t xml:space="preserve">11. </w:t>
      </w:r>
      <w:r w:rsidRPr="005A2012">
        <w:rPr>
          <w:rFonts w:ascii="Arial" w:hAnsi="Arial" w:cs="Arial"/>
          <w:b/>
          <w:i/>
          <w:sz w:val="20"/>
          <w:szCs w:val="20"/>
        </w:rPr>
        <w:t>histórico de coordenação no mercado relevante em questã</w:t>
      </w:r>
      <w:r>
        <w:rPr>
          <w:rFonts w:ascii="Arial" w:hAnsi="Arial" w:cs="Arial"/>
          <w:b/>
          <w:i/>
          <w:sz w:val="20"/>
          <w:szCs w:val="20"/>
        </w:rPr>
        <w:t>o (...)</w:t>
      </w:r>
      <w:r w:rsidRPr="005A2012">
        <w:rPr>
          <w:rFonts w:ascii="Arial" w:hAnsi="Arial" w:cs="Arial"/>
          <w:i/>
          <w:sz w:val="20"/>
          <w:szCs w:val="20"/>
        </w:rPr>
        <w:t>;</w:t>
      </w:r>
    </w:p>
    <w:p w:rsidR="00CA31A3" w:rsidRPr="005A2012" w:rsidRDefault="005A2012" w:rsidP="005A2012">
      <w:pPr>
        <w:ind w:left="1416"/>
        <w:jc w:val="both"/>
        <w:rPr>
          <w:rFonts w:ascii="Arial" w:hAnsi="Arial" w:cs="Arial"/>
          <w:i/>
          <w:sz w:val="20"/>
          <w:szCs w:val="20"/>
        </w:rPr>
      </w:pPr>
      <w:r w:rsidRPr="005A2012">
        <w:rPr>
          <w:rFonts w:ascii="Arial" w:hAnsi="Arial" w:cs="Arial"/>
          <w:i/>
          <w:sz w:val="20"/>
          <w:szCs w:val="20"/>
        </w:rPr>
        <w:t xml:space="preserve">12. </w:t>
      </w:r>
      <w:r w:rsidRPr="005A2012">
        <w:rPr>
          <w:rFonts w:ascii="Arial" w:hAnsi="Arial" w:cs="Arial"/>
          <w:b/>
          <w:i/>
          <w:sz w:val="20"/>
          <w:szCs w:val="20"/>
        </w:rPr>
        <w:t>relações</w:t>
      </w:r>
      <w:r w:rsidRPr="005A2012">
        <w:rPr>
          <w:rFonts w:ascii="Arial" w:hAnsi="Arial" w:cs="Arial"/>
          <w:i/>
          <w:sz w:val="20"/>
          <w:szCs w:val="20"/>
        </w:rPr>
        <w:t xml:space="preserve"> societárias, empresariais ou </w:t>
      </w:r>
      <w:r w:rsidRPr="005A2012">
        <w:rPr>
          <w:rFonts w:ascii="Arial" w:hAnsi="Arial" w:cs="Arial"/>
          <w:b/>
          <w:i/>
          <w:sz w:val="20"/>
          <w:szCs w:val="20"/>
        </w:rPr>
        <w:t>comerciais que possam restringir a rivalidade ou aumentar a transparência de informações das empresas no mercado</w:t>
      </w:r>
      <w:r w:rsidRPr="005A2012">
        <w:rPr>
          <w:rFonts w:ascii="Arial" w:hAnsi="Arial" w:cs="Arial"/>
          <w:i/>
          <w:sz w:val="20"/>
          <w:szCs w:val="20"/>
        </w:rPr>
        <w:t xml:space="preserve">: para além do compartilhamento de infraestrutura, dos </w:t>
      </w:r>
      <w:r w:rsidRPr="005A2012">
        <w:rPr>
          <w:rFonts w:ascii="Arial" w:hAnsi="Arial" w:cs="Arial"/>
          <w:b/>
          <w:i/>
          <w:sz w:val="20"/>
          <w:szCs w:val="20"/>
        </w:rPr>
        <w:t>contratos de cessão</w:t>
      </w:r>
      <w:r w:rsidRPr="005A2012">
        <w:rPr>
          <w:rFonts w:ascii="Arial" w:hAnsi="Arial" w:cs="Arial"/>
          <w:i/>
          <w:sz w:val="20"/>
          <w:szCs w:val="20"/>
        </w:rPr>
        <w:t xml:space="preserve"> e das informações disponibilizadas pela regulação, as quatro grandes distribuidoras possuem também um sindicato próprio (Sindicom)</w:t>
      </w:r>
      <w:r>
        <w:rPr>
          <w:rFonts w:ascii="Arial" w:hAnsi="Arial" w:cs="Arial"/>
          <w:sz w:val="20"/>
          <w:szCs w:val="20"/>
        </w:rPr>
        <w:t>”</w:t>
      </w:r>
      <w:r w:rsidRPr="005A2012">
        <w:rPr>
          <w:rFonts w:ascii="Arial" w:hAnsi="Arial" w:cs="Arial"/>
          <w:i/>
          <w:sz w:val="20"/>
          <w:szCs w:val="20"/>
        </w:rPr>
        <w:t>.</w:t>
      </w:r>
      <w:r w:rsidR="002F6AF4" w:rsidRPr="005A2012">
        <w:rPr>
          <w:rFonts w:ascii="Arial" w:hAnsi="Arial" w:cs="Arial"/>
          <w:i/>
          <w:sz w:val="20"/>
          <w:szCs w:val="20"/>
        </w:rPr>
        <w:t xml:space="preserve"> </w:t>
      </w:r>
    </w:p>
    <w:p w:rsidR="00CA31A3" w:rsidRDefault="00CA31A3" w:rsidP="00AC584B">
      <w:pPr>
        <w:jc w:val="both"/>
        <w:rPr>
          <w:rFonts w:ascii="Arial" w:hAnsi="Arial" w:cs="Arial"/>
        </w:rPr>
      </w:pPr>
    </w:p>
    <w:p w:rsidR="005A2012" w:rsidRDefault="005A2012" w:rsidP="00AC584B">
      <w:pPr>
        <w:jc w:val="both"/>
        <w:rPr>
          <w:rFonts w:ascii="Arial" w:hAnsi="Arial" w:cs="Arial"/>
        </w:rPr>
      </w:pPr>
      <w:r>
        <w:rPr>
          <w:rFonts w:ascii="Arial" w:hAnsi="Arial" w:cs="Arial"/>
        </w:rPr>
        <w:tab/>
        <w:t xml:space="preserve">O Conselheiro Resende ainda </w:t>
      </w:r>
      <w:r w:rsidR="003B7185">
        <w:rPr>
          <w:rFonts w:ascii="Arial" w:hAnsi="Arial" w:cs="Arial"/>
        </w:rPr>
        <w:t xml:space="preserve">aponta </w:t>
      </w:r>
      <w:r>
        <w:rPr>
          <w:rFonts w:ascii="Arial" w:hAnsi="Arial" w:cs="Arial"/>
        </w:rPr>
        <w:t>em seu voto que:</w:t>
      </w:r>
    </w:p>
    <w:p w:rsidR="005A2012" w:rsidRPr="005A2012" w:rsidRDefault="005A2012" w:rsidP="005A2012">
      <w:pPr>
        <w:jc w:val="both"/>
        <w:rPr>
          <w:rFonts w:ascii="Arial" w:hAnsi="Arial" w:cs="Arial"/>
          <w:sz w:val="20"/>
          <w:szCs w:val="20"/>
        </w:rPr>
      </w:pPr>
    </w:p>
    <w:p w:rsidR="005A2012" w:rsidRDefault="005A2012" w:rsidP="005A2012">
      <w:pPr>
        <w:ind w:left="1416"/>
        <w:jc w:val="both"/>
        <w:rPr>
          <w:rFonts w:ascii="Arial" w:hAnsi="Arial" w:cs="Arial"/>
          <w:i/>
          <w:sz w:val="20"/>
          <w:szCs w:val="20"/>
        </w:rPr>
      </w:pPr>
      <w:r>
        <w:rPr>
          <w:rFonts w:ascii="Arial" w:hAnsi="Arial" w:cs="Arial"/>
          <w:sz w:val="20"/>
          <w:szCs w:val="20"/>
        </w:rPr>
        <w:t>“</w:t>
      </w:r>
      <w:r w:rsidRPr="005A2012">
        <w:rPr>
          <w:rFonts w:ascii="Arial" w:hAnsi="Arial" w:cs="Arial"/>
          <w:i/>
          <w:sz w:val="20"/>
          <w:szCs w:val="20"/>
        </w:rPr>
        <w:t xml:space="preserve">97. Para além do mercado de distribuição, a operação tende a gerar fortes externalidades negativas no mercado de revenda, facilitando ainda mais a coordenação. </w:t>
      </w:r>
      <w:r w:rsidRPr="005A2012">
        <w:rPr>
          <w:rFonts w:ascii="Arial" w:hAnsi="Arial" w:cs="Arial"/>
          <w:b/>
          <w:i/>
          <w:sz w:val="20"/>
          <w:szCs w:val="20"/>
        </w:rPr>
        <w:t xml:space="preserve">A </w:t>
      </w:r>
      <w:r w:rsidRPr="00A828BA">
        <w:rPr>
          <w:rFonts w:ascii="Arial" w:hAnsi="Arial" w:cs="Arial"/>
          <w:b/>
          <w:i/>
          <w:sz w:val="20"/>
          <w:szCs w:val="20"/>
          <w:u w:val="single"/>
        </w:rPr>
        <w:t>cartelização na revenda</w:t>
      </w:r>
      <w:r w:rsidRPr="005A2012">
        <w:rPr>
          <w:rFonts w:ascii="Arial" w:hAnsi="Arial" w:cs="Arial"/>
          <w:b/>
          <w:i/>
          <w:sz w:val="20"/>
          <w:szCs w:val="20"/>
        </w:rPr>
        <w:t xml:space="preserve"> tende a ser </w:t>
      </w:r>
      <w:r w:rsidRPr="00A828BA">
        <w:rPr>
          <w:rFonts w:ascii="Arial" w:hAnsi="Arial" w:cs="Arial"/>
          <w:b/>
          <w:i/>
          <w:sz w:val="20"/>
          <w:szCs w:val="20"/>
          <w:u w:val="single"/>
        </w:rPr>
        <w:t>benéfica para as distribuidoras</w:t>
      </w:r>
      <w:r w:rsidRPr="005A2012">
        <w:rPr>
          <w:rFonts w:ascii="Arial" w:hAnsi="Arial" w:cs="Arial"/>
          <w:b/>
          <w:i/>
          <w:sz w:val="20"/>
          <w:szCs w:val="20"/>
        </w:rPr>
        <w:t xml:space="preserve"> devido a um alinhamento de incentivos entre os agentes à jusante e à montante da cadeia de comercialização de combustíveis, em função dos seguintes fatores: (i) a baixa elasticidade-preço da demanda dos consumidores finais faz com que as vendas das distribuidoras sejam pouco afetadas por condutas colusivas dos postos; (ii) </w:t>
      </w:r>
      <w:r w:rsidRPr="00A828BA">
        <w:rPr>
          <w:rFonts w:ascii="Arial" w:hAnsi="Arial" w:cs="Arial"/>
          <w:b/>
          <w:i/>
          <w:sz w:val="20"/>
          <w:szCs w:val="20"/>
          <w:u w:val="single"/>
        </w:rPr>
        <w:t>o aumento da margem de revenda</w:t>
      </w:r>
      <w:r w:rsidRPr="005A2012">
        <w:rPr>
          <w:rFonts w:ascii="Arial" w:hAnsi="Arial" w:cs="Arial"/>
          <w:b/>
          <w:i/>
          <w:sz w:val="20"/>
          <w:szCs w:val="20"/>
        </w:rPr>
        <w:t xml:space="preserve"> causado pela coordenação dos postos </w:t>
      </w:r>
      <w:r w:rsidRPr="00A828BA">
        <w:rPr>
          <w:rFonts w:ascii="Arial" w:hAnsi="Arial" w:cs="Arial"/>
          <w:b/>
          <w:i/>
          <w:sz w:val="20"/>
          <w:szCs w:val="20"/>
          <w:u w:val="single"/>
        </w:rPr>
        <w:t>reduz a pressão</w:t>
      </w:r>
      <w:r w:rsidRPr="005A2012">
        <w:rPr>
          <w:rFonts w:ascii="Arial" w:hAnsi="Arial" w:cs="Arial"/>
          <w:b/>
          <w:i/>
          <w:sz w:val="20"/>
          <w:szCs w:val="20"/>
        </w:rPr>
        <w:t xml:space="preserve"> destes sobre as </w:t>
      </w:r>
      <w:r w:rsidRPr="00A828BA">
        <w:rPr>
          <w:rFonts w:ascii="Arial" w:hAnsi="Arial" w:cs="Arial"/>
          <w:b/>
          <w:i/>
          <w:sz w:val="20"/>
          <w:szCs w:val="20"/>
          <w:u w:val="single"/>
        </w:rPr>
        <w:t>distribuidoras por preços de fornecimento mais baixos</w:t>
      </w:r>
      <w:r w:rsidRPr="005A2012">
        <w:rPr>
          <w:rFonts w:ascii="Arial" w:hAnsi="Arial" w:cs="Arial"/>
          <w:b/>
          <w:i/>
          <w:sz w:val="20"/>
          <w:szCs w:val="20"/>
        </w:rPr>
        <w:t xml:space="preserve">; (iii) torna-se </w:t>
      </w:r>
      <w:r w:rsidRPr="00A828BA">
        <w:rPr>
          <w:rFonts w:ascii="Arial" w:hAnsi="Arial" w:cs="Arial"/>
          <w:b/>
          <w:i/>
          <w:sz w:val="20"/>
          <w:szCs w:val="20"/>
          <w:u w:val="single"/>
        </w:rPr>
        <w:t>mais fácil</w:t>
      </w:r>
      <w:r w:rsidRPr="005A2012">
        <w:rPr>
          <w:rFonts w:ascii="Arial" w:hAnsi="Arial" w:cs="Arial"/>
          <w:b/>
          <w:i/>
          <w:sz w:val="20"/>
          <w:szCs w:val="20"/>
        </w:rPr>
        <w:t xml:space="preserve"> para as distribuidoras </w:t>
      </w:r>
      <w:r w:rsidRPr="00A828BA">
        <w:rPr>
          <w:rFonts w:ascii="Arial" w:hAnsi="Arial" w:cs="Arial"/>
          <w:b/>
          <w:i/>
          <w:sz w:val="20"/>
          <w:szCs w:val="20"/>
          <w:u w:val="single"/>
        </w:rPr>
        <w:t>cobrar preços mais elevados pelo combustível</w:t>
      </w:r>
      <w:r w:rsidRPr="005A2012">
        <w:rPr>
          <w:rFonts w:ascii="Arial" w:hAnsi="Arial" w:cs="Arial"/>
          <w:b/>
          <w:i/>
          <w:sz w:val="20"/>
          <w:szCs w:val="20"/>
        </w:rPr>
        <w:t xml:space="preserve"> quando os postos revenda conseguem elevar artificialmente os preços em função da coordenação</w:t>
      </w:r>
      <w:r w:rsidRPr="005A2012">
        <w:rPr>
          <w:rFonts w:ascii="Arial" w:hAnsi="Arial" w:cs="Arial"/>
          <w:i/>
          <w:sz w:val="20"/>
          <w:szCs w:val="20"/>
        </w:rPr>
        <w:t>.</w:t>
      </w:r>
    </w:p>
    <w:p w:rsidR="005A2012" w:rsidRPr="005A2012" w:rsidRDefault="005A2012" w:rsidP="005A2012">
      <w:pPr>
        <w:ind w:left="1416"/>
        <w:jc w:val="both"/>
        <w:rPr>
          <w:rFonts w:ascii="Arial" w:hAnsi="Arial" w:cs="Arial"/>
          <w:i/>
          <w:sz w:val="20"/>
          <w:szCs w:val="20"/>
        </w:rPr>
      </w:pPr>
    </w:p>
    <w:p w:rsidR="005A2012" w:rsidRDefault="005A2012" w:rsidP="005A2012">
      <w:pPr>
        <w:ind w:left="1416"/>
        <w:jc w:val="both"/>
        <w:rPr>
          <w:rFonts w:ascii="Arial" w:hAnsi="Arial" w:cs="Arial"/>
          <w:i/>
          <w:sz w:val="20"/>
          <w:szCs w:val="20"/>
        </w:rPr>
      </w:pPr>
      <w:r w:rsidRPr="005A2012">
        <w:rPr>
          <w:rFonts w:ascii="Arial" w:hAnsi="Arial" w:cs="Arial"/>
          <w:i/>
          <w:sz w:val="20"/>
          <w:szCs w:val="20"/>
        </w:rPr>
        <w:t xml:space="preserve">98. Em tese, </w:t>
      </w:r>
      <w:r w:rsidRPr="005A2012">
        <w:rPr>
          <w:rFonts w:ascii="Arial" w:hAnsi="Arial" w:cs="Arial"/>
          <w:b/>
          <w:i/>
          <w:sz w:val="20"/>
          <w:szCs w:val="20"/>
        </w:rPr>
        <w:t xml:space="preserve">as distribuidoras são capazes de </w:t>
      </w:r>
      <w:r w:rsidRPr="00A828BA">
        <w:rPr>
          <w:rFonts w:ascii="Arial" w:hAnsi="Arial" w:cs="Arial"/>
          <w:b/>
          <w:i/>
          <w:sz w:val="20"/>
          <w:szCs w:val="20"/>
          <w:u w:val="single"/>
        </w:rPr>
        <w:t>punir</w:t>
      </w:r>
      <w:r w:rsidRPr="005A2012">
        <w:rPr>
          <w:rFonts w:ascii="Arial" w:hAnsi="Arial" w:cs="Arial"/>
          <w:b/>
          <w:i/>
          <w:sz w:val="20"/>
          <w:szCs w:val="20"/>
        </w:rPr>
        <w:t xml:space="preserve"> de maneira </w:t>
      </w:r>
      <w:r w:rsidRPr="00A828BA">
        <w:rPr>
          <w:rFonts w:ascii="Arial" w:hAnsi="Arial" w:cs="Arial"/>
          <w:b/>
          <w:i/>
          <w:sz w:val="20"/>
          <w:szCs w:val="20"/>
          <w:u w:val="single"/>
        </w:rPr>
        <w:t>discriminatória postos não alinhados</w:t>
      </w:r>
      <w:r w:rsidRPr="005A2012">
        <w:rPr>
          <w:rFonts w:ascii="Arial" w:hAnsi="Arial" w:cs="Arial"/>
          <w:b/>
          <w:i/>
          <w:sz w:val="20"/>
          <w:szCs w:val="20"/>
        </w:rPr>
        <w:t xml:space="preserve"> ou </w:t>
      </w:r>
      <w:r w:rsidRPr="00A828BA">
        <w:rPr>
          <w:rFonts w:ascii="Arial" w:hAnsi="Arial" w:cs="Arial"/>
          <w:b/>
          <w:i/>
          <w:sz w:val="20"/>
          <w:szCs w:val="20"/>
          <w:u w:val="single"/>
        </w:rPr>
        <w:t>favorecer aqueles</w:t>
      </w:r>
      <w:r w:rsidRPr="005A2012">
        <w:rPr>
          <w:rFonts w:ascii="Arial" w:hAnsi="Arial" w:cs="Arial"/>
          <w:b/>
          <w:i/>
          <w:sz w:val="20"/>
          <w:szCs w:val="20"/>
        </w:rPr>
        <w:t xml:space="preserve"> revendedores que seguem as </w:t>
      </w:r>
      <w:r w:rsidRPr="00A828BA">
        <w:rPr>
          <w:rFonts w:ascii="Arial" w:hAnsi="Arial" w:cs="Arial"/>
          <w:b/>
          <w:i/>
          <w:sz w:val="20"/>
          <w:szCs w:val="20"/>
          <w:u w:val="single"/>
        </w:rPr>
        <w:t>diretrizes de conduta concertada</w:t>
      </w:r>
      <w:r w:rsidRPr="005A2012">
        <w:rPr>
          <w:rFonts w:ascii="Arial" w:hAnsi="Arial" w:cs="Arial"/>
          <w:i/>
          <w:sz w:val="20"/>
          <w:szCs w:val="20"/>
        </w:rPr>
        <w:t xml:space="preserve">. Na prática, a SG ressalta que condutas de </w:t>
      </w:r>
      <w:r w:rsidRPr="005A2012">
        <w:rPr>
          <w:rFonts w:ascii="Arial" w:hAnsi="Arial" w:cs="Arial"/>
          <w:b/>
          <w:i/>
          <w:sz w:val="20"/>
          <w:szCs w:val="20"/>
        </w:rPr>
        <w:t>influência e de intervenção direta das distribuidoras nos preços</w:t>
      </w:r>
      <w:r w:rsidRPr="005A2012">
        <w:rPr>
          <w:rFonts w:ascii="Arial" w:hAnsi="Arial" w:cs="Arial"/>
          <w:i/>
          <w:sz w:val="20"/>
          <w:szCs w:val="20"/>
        </w:rPr>
        <w:t xml:space="preserve"> de revenda já foram observadas empiricamente em antecedentes no CADE.</w:t>
      </w:r>
    </w:p>
    <w:p w:rsidR="005A2012" w:rsidRPr="005A2012" w:rsidRDefault="005A2012" w:rsidP="005A2012">
      <w:pPr>
        <w:ind w:left="1416"/>
        <w:jc w:val="both"/>
        <w:rPr>
          <w:rFonts w:ascii="Arial" w:hAnsi="Arial" w:cs="Arial"/>
          <w:i/>
          <w:sz w:val="20"/>
          <w:szCs w:val="20"/>
        </w:rPr>
      </w:pPr>
    </w:p>
    <w:p w:rsidR="005A2012" w:rsidRDefault="005A2012" w:rsidP="005A2012">
      <w:pPr>
        <w:ind w:left="1416"/>
        <w:jc w:val="both"/>
        <w:rPr>
          <w:rFonts w:ascii="Arial" w:hAnsi="Arial" w:cs="Arial"/>
          <w:sz w:val="20"/>
          <w:szCs w:val="20"/>
        </w:rPr>
      </w:pPr>
      <w:r w:rsidRPr="005A2012">
        <w:rPr>
          <w:rFonts w:ascii="Arial" w:hAnsi="Arial" w:cs="Arial"/>
          <w:i/>
          <w:sz w:val="20"/>
          <w:szCs w:val="20"/>
        </w:rPr>
        <w:t>99. Recentemente, em processo administrativo distribuído à minha relatoria e pautado na 104</w:t>
      </w:r>
      <w:r>
        <w:rPr>
          <w:rFonts w:ascii="Arial" w:hAnsi="Arial" w:cs="Arial"/>
          <w:i/>
          <w:sz w:val="20"/>
          <w:szCs w:val="20"/>
        </w:rPr>
        <w:t>ª</w:t>
      </w:r>
      <w:r w:rsidRPr="005A2012">
        <w:rPr>
          <w:rFonts w:ascii="Arial" w:hAnsi="Arial" w:cs="Arial"/>
          <w:i/>
          <w:sz w:val="20"/>
          <w:szCs w:val="20"/>
        </w:rPr>
        <w:t xml:space="preserve"> Sessão Ordinária de Julgamento, pudemos identificar </w:t>
      </w:r>
      <w:r w:rsidRPr="005A2012">
        <w:rPr>
          <w:rFonts w:ascii="Arial" w:hAnsi="Arial" w:cs="Arial"/>
          <w:b/>
          <w:i/>
          <w:sz w:val="20"/>
          <w:szCs w:val="20"/>
        </w:rPr>
        <w:t>prova direta de interação suspeita entre gerente de determinada distribuidora e postos revendedores</w:t>
      </w:r>
      <w:r w:rsidRPr="005A2012">
        <w:rPr>
          <w:rFonts w:ascii="Arial" w:hAnsi="Arial" w:cs="Arial"/>
          <w:i/>
          <w:sz w:val="20"/>
          <w:szCs w:val="20"/>
        </w:rPr>
        <w:t xml:space="preserve">. Naquele contexto, o </w:t>
      </w:r>
      <w:r w:rsidRPr="005A2012">
        <w:rPr>
          <w:rFonts w:ascii="Arial" w:hAnsi="Arial" w:cs="Arial"/>
          <w:b/>
          <w:i/>
          <w:sz w:val="20"/>
          <w:szCs w:val="20"/>
        </w:rPr>
        <w:t>representante da distribuidora estava claramente em posição de influenciar conduta uniforme na revenda, a ponto do gerente de um dos postos pedir sua ajuda para intervir nos preços praticados por um concorrente não alinhado</w:t>
      </w:r>
      <w:r w:rsidRPr="005A2012">
        <w:rPr>
          <w:rFonts w:ascii="Arial" w:hAnsi="Arial" w:cs="Arial"/>
          <w:i/>
          <w:sz w:val="20"/>
          <w:szCs w:val="20"/>
        </w:rPr>
        <w:t xml:space="preserve">. Embora a BR não tenha sido condenada em função de insuficiência de provas de que a sua participação na conduta efetivamente se materializou, o </w:t>
      </w:r>
      <w:r w:rsidRPr="005A2012">
        <w:rPr>
          <w:rFonts w:ascii="Arial" w:hAnsi="Arial" w:cs="Arial"/>
          <w:b/>
          <w:i/>
          <w:sz w:val="20"/>
          <w:szCs w:val="20"/>
        </w:rPr>
        <w:t>processo demonstrou como é possível e até mesmo fácil para que as distribuidoras coordenem ou ajudem a monitorar carteis no mercado de revenda</w:t>
      </w:r>
      <w:r w:rsidRPr="005A2012">
        <w:rPr>
          <w:rFonts w:ascii="Arial" w:hAnsi="Arial" w:cs="Arial"/>
          <w:sz w:val="20"/>
          <w:szCs w:val="20"/>
        </w:rPr>
        <w:t>”.</w:t>
      </w:r>
      <w:r>
        <w:rPr>
          <w:rFonts w:ascii="Arial" w:hAnsi="Arial" w:cs="Arial"/>
          <w:sz w:val="20"/>
          <w:szCs w:val="20"/>
        </w:rPr>
        <w:t xml:space="preserve"> (Destacamos)</w:t>
      </w:r>
    </w:p>
    <w:p w:rsidR="005A2012" w:rsidRPr="005A2012" w:rsidRDefault="005A2012" w:rsidP="005A2012">
      <w:pPr>
        <w:ind w:left="1416"/>
        <w:jc w:val="both"/>
        <w:rPr>
          <w:rFonts w:ascii="Arial" w:hAnsi="Arial" w:cs="Arial"/>
        </w:rPr>
      </w:pPr>
    </w:p>
    <w:p w:rsidR="005A2012" w:rsidRDefault="005A2012" w:rsidP="005A2012">
      <w:pPr>
        <w:jc w:val="both"/>
        <w:rPr>
          <w:rFonts w:ascii="Arial" w:hAnsi="Arial" w:cs="Arial"/>
        </w:rPr>
      </w:pPr>
      <w:r w:rsidRPr="005A2012">
        <w:rPr>
          <w:rFonts w:ascii="Arial" w:hAnsi="Arial" w:cs="Arial"/>
        </w:rPr>
        <w:t xml:space="preserve"> </w:t>
      </w:r>
      <w:r>
        <w:rPr>
          <w:rFonts w:ascii="Arial" w:hAnsi="Arial" w:cs="Arial"/>
        </w:rPr>
        <w:tab/>
        <w:t xml:space="preserve">Este poder de monitoramento e incentivos à cartelização apenas é possível em decorrência da regra do embandeiramento e, principalmente, dos contratos de exclusividade celebrados entre distribuidora e revendedores bandeirados. Como já destacado à exaustão, as cláusulas desses contratos e seus “longuíssimos” prazos acarretam </w:t>
      </w:r>
      <w:r w:rsidR="009F152C">
        <w:rPr>
          <w:rFonts w:ascii="Arial" w:hAnsi="Arial" w:cs="Arial"/>
        </w:rPr>
        <w:t xml:space="preserve">em um “real e de fato” controle da distribuidora sobre as estratégias e ações dos postos revendedores que estão sob sua bandeira e sujeitos a tais contratos. Afinal, esses contratos, conforme explicado acima, determinam volumes mínimos a serem adquiridos pelos revendedores, multas </w:t>
      </w:r>
      <w:r w:rsidR="00A94A87">
        <w:rPr>
          <w:rFonts w:ascii="Arial" w:hAnsi="Arial" w:cs="Arial"/>
        </w:rPr>
        <w:t xml:space="preserve">rescisórias </w:t>
      </w:r>
      <w:r w:rsidR="009F152C">
        <w:rPr>
          <w:rFonts w:ascii="Arial" w:hAnsi="Arial" w:cs="Arial"/>
        </w:rPr>
        <w:t>pesadíssimas e</w:t>
      </w:r>
      <w:r w:rsidR="00A94A87">
        <w:rPr>
          <w:rFonts w:ascii="Arial" w:hAnsi="Arial" w:cs="Arial"/>
        </w:rPr>
        <w:t xml:space="preserve"> proibitivas à migração para outra bandeira;</w:t>
      </w:r>
      <w:r w:rsidR="009F152C">
        <w:rPr>
          <w:rFonts w:ascii="Arial" w:hAnsi="Arial" w:cs="Arial"/>
        </w:rPr>
        <w:t xml:space="preserve"> e, ainda, não definem o preço que deverá ser pago pelos revendedores à distribuidora</w:t>
      </w:r>
      <w:r w:rsidR="00A94A87">
        <w:rPr>
          <w:rFonts w:ascii="Arial" w:hAnsi="Arial" w:cs="Arial"/>
        </w:rPr>
        <w:t xml:space="preserve">. Reitera-se que a ausência de uma cláusula de precificação, associado à exclusividade de compra e as multas proibitivas, é um fator adicional que </w:t>
      </w:r>
      <w:r w:rsidR="009F152C">
        <w:rPr>
          <w:rFonts w:ascii="Arial" w:hAnsi="Arial" w:cs="Arial"/>
        </w:rPr>
        <w:t>garant</w:t>
      </w:r>
      <w:r w:rsidR="00A94A87">
        <w:rPr>
          <w:rFonts w:ascii="Arial" w:hAnsi="Arial" w:cs="Arial"/>
        </w:rPr>
        <w:t>e</w:t>
      </w:r>
      <w:r w:rsidR="009F152C">
        <w:rPr>
          <w:rFonts w:ascii="Arial" w:hAnsi="Arial" w:cs="Arial"/>
        </w:rPr>
        <w:t xml:space="preserve"> </w:t>
      </w:r>
      <w:r w:rsidR="00A94A87">
        <w:rPr>
          <w:rFonts w:ascii="Arial" w:hAnsi="Arial" w:cs="Arial"/>
        </w:rPr>
        <w:t>à distribuidora plenos e ilimitados poderes para</w:t>
      </w:r>
      <w:r w:rsidR="009F152C">
        <w:rPr>
          <w:rFonts w:ascii="Arial" w:hAnsi="Arial" w:cs="Arial"/>
        </w:rPr>
        <w:t xml:space="preserve"> fixar o preço </w:t>
      </w:r>
      <w:r w:rsidR="00A94A87">
        <w:rPr>
          <w:rFonts w:ascii="Arial" w:hAnsi="Arial" w:cs="Arial"/>
        </w:rPr>
        <w:t xml:space="preserve">de venda ao fornecedor </w:t>
      </w:r>
      <w:r w:rsidR="009F152C">
        <w:rPr>
          <w:rFonts w:ascii="Arial" w:hAnsi="Arial" w:cs="Arial"/>
        </w:rPr>
        <w:t>que bem lhe convier, caracterizando uma situação de claro monopólio da distribuidora sobre seus postos revendedores</w:t>
      </w:r>
      <w:r w:rsidR="00A94A87">
        <w:rPr>
          <w:rFonts w:ascii="Arial" w:hAnsi="Arial" w:cs="Arial"/>
        </w:rPr>
        <w:t xml:space="preserve"> e que </w:t>
      </w:r>
      <w:proofErr w:type="gramStart"/>
      <w:r w:rsidR="00A94A87">
        <w:rPr>
          <w:rFonts w:ascii="Arial" w:hAnsi="Arial" w:cs="Arial"/>
        </w:rPr>
        <w:t>encontram-se</w:t>
      </w:r>
      <w:proofErr w:type="gramEnd"/>
      <w:r w:rsidR="009F152C">
        <w:rPr>
          <w:rFonts w:ascii="Arial" w:hAnsi="Arial" w:cs="Arial"/>
        </w:rPr>
        <w:t xml:space="preserve"> contratualmente vinculados a ela.</w:t>
      </w:r>
    </w:p>
    <w:p w:rsidR="009F152C" w:rsidRDefault="009F152C" w:rsidP="005A2012">
      <w:pPr>
        <w:jc w:val="both"/>
        <w:rPr>
          <w:rFonts w:ascii="Arial" w:hAnsi="Arial" w:cs="Arial"/>
        </w:rPr>
      </w:pPr>
    </w:p>
    <w:p w:rsidR="009F152C" w:rsidRDefault="009F152C" w:rsidP="005A2012">
      <w:pPr>
        <w:jc w:val="both"/>
        <w:rPr>
          <w:rFonts w:ascii="Arial" w:hAnsi="Arial" w:cs="Arial"/>
        </w:rPr>
      </w:pPr>
      <w:r>
        <w:rPr>
          <w:rFonts w:ascii="Arial" w:hAnsi="Arial" w:cs="Arial"/>
        </w:rPr>
        <w:tab/>
        <w:t xml:space="preserve">Na hipótese de não haver tais obrigações contratuais, certamente, os incentivos das distribuidoras em ofertar combustíveis a preços competitivos e exigir de seus revendedores melhor qualidade e diferenciação </w:t>
      </w:r>
      <w:r w:rsidR="00A94A87">
        <w:rPr>
          <w:rFonts w:ascii="Arial" w:hAnsi="Arial" w:cs="Arial"/>
        </w:rPr>
        <w:t>de</w:t>
      </w:r>
      <w:r>
        <w:rPr>
          <w:rFonts w:ascii="Arial" w:hAnsi="Arial" w:cs="Arial"/>
        </w:rPr>
        <w:t xml:space="preserve"> atendimento e serviços prestados seria muito maior.</w:t>
      </w:r>
      <w:r w:rsidR="00A94A87">
        <w:rPr>
          <w:rFonts w:ascii="Arial" w:hAnsi="Arial" w:cs="Arial"/>
        </w:rPr>
        <w:t xml:space="preserve"> Essas cláusulas também impactam negativamente nos incentivos à adulteração e sonegação por parte dos revendedores.</w:t>
      </w:r>
    </w:p>
    <w:p w:rsidR="009F152C" w:rsidRDefault="009F152C" w:rsidP="005A2012">
      <w:pPr>
        <w:jc w:val="both"/>
        <w:rPr>
          <w:rFonts w:ascii="Arial" w:hAnsi="Arial" w:cs="Arial"/>
        </w:rPr>
      </w:pPr>
    </w:p>
    <w:p w:rsidR="009F152C" w:rsidRDefault="009F152C" w:rsidP="005A2012">
      <w:pPr>
        <w:jc w:val="both"/>
        <w:rPr>
          <w:rFonts w:ascii="Arial" w:hAnsi="Arial" w:cs="Arial"/>
        </w:rPr>
      </w:pPr>
      <w:r>
        <w:rPr>
          <w:rFonts w:ascii="Arial" w:hAnsi="Arial" w:cs="Arial"/>
        </w:rPr>
        <w:tab/>
        <w:t xml:space="preserve">Este entendimento é de </w:t>
      </w:r>
      <w:r w:rsidR="00FD0546">
        <w:rPr>
          <w:rFonts w:ascii="Arial" w:hAnsi="Arial" w:cs="Arial"/>
        </w:rPr>
        <w:t>também</w:t>
      </w:r>
      <w:r>
        <w:rPr>
          <w:rFonts w:ascii="Arial" w:hAnsi="Arial" w:cs="Arial"/>
        </w:rPr>
        <w:t xml:space="preserve"> apresentado no voto do Conselheiro Resende</w:t>
      </w:r>
      <w:r w:rsidR="00FD0546">
        <w:rPr>
          <w:rFonts w:ascii="Arial" w:hAnsi="Arial" w:cs="Arial"/>
        </w:rPr>
        <w:t>, ainda que de forma mais genérica,</w:t>
      </w:r>
      <w:r>
        <w:rPr>
          <w:rFonts w:ascii="Arial" w:hAnsi="Arial" w:cs="Arial"/>
        </w:rPr>
        <w:t xml:space="preserve"> ao analisar os “Remédios” impostos pelo CADE em outros casos envolvendo a aquisição de distribuidoras, </w:t>
      </w:r>
      <w:r>
        <w:rPr>
          <w:rFonts w:ascii="Arial" w:hAnsi="Arial" w:cs="Arial"/>
          <w:i/>
        </w:rPr>
        <w:t>in verbis</w:t>
      </w:r>
      <w:r>
        <w:rPr>
          <w:rFonts w:ascii="Arial" w:hAnsi="Arial" w:cs="Arial"/>
        </w:rPr>
        <w:t>:</w:t>
      </w:r>
    </w:p>
    <w:p w:rsidR="009F152C" w:rsidRPr="009F152C" w:rsidRDefault="009F152C" w:rsidP="009F152C">
      <w:pPr>
        <w:ind w:left="1416"/>
        <w:jc w:val="both"/>
        <w:rPr>
          <w:rFonts w:ascii="Arial" w:hAnsi="Arial" w:cs="Arial"/>
          <w:sz w:val="20"/>
          <w:szCs w:val="20"/>
        </w:rPr>
      </w:pPr>
    </w:p>
    <w:p w:rsidR="0057659E" w:rsidRPr="0057659E" w:rsidRDefault="009F152C" w:rsidP="0057659E">
      <w:pPr>
        <w:ind w:left="1416"/>
        <w:jc w:val="both"/>
        <w:rPr>
          <w:rFonts w:ascii="Arial" w:hAnsi="Arial" w:cs="Arial"/>
          <w:b/>
          <w:i/>
          <w:sz w:val="20"/>
          <w:szCs w:val="20"/>
        </w:rPr>
      </w:pPr>
      <w:r>
        <w:rPr>
          <w:rFonts w:ascii="Arial" w:hAnsi="Arial" w:cs="Arial"/>
          <w:sz w:val="20"/>
          <w:szCs w:val="20"/>
        </w:rPr>
        <w:t>“</w:t>
      </w:r>
      <w:r w:rsidRPr="009F152C">
        <w:rPr>
          <w:rFonts w:ascii="Arial" w:hAnsi="Arial" w:cs="Arial"/>
          <w:i/>
          <w:sz w:val="20"/>
          <w:szCs w:val="20"/>
        </w:rPr>
        <w:t xml:space="preserve">152. Meu entendimento, no entanto, diverge da jurisprudência nesse sentido. Com a definição de mercado relevante como sendo na distribuição exclusivamente, os clientes das distribuidoras são os postos revendedores, e não o consumidor final. </w:t>
      </w:r>
      <w:r w:rsidRPr="009F152C">
        <w:rPr>
          <w:rFonts w:ascii="Arial" w:hAnsi="Arial" w:cs="Arial"/>
          <w:b/>
          <w:i/>
          <w:sz w:val="20"/>
          <w:szCs w:val="20"/>
        </w:rPr>
        <w:t xml:space="preserve">Uma solução que implique a neutralização de efeitos apenas na revenda e apenas no curto prazo (tendo em vista que os contratos de embandeiramento podem voltar ao Requerente comprador no </w:t>
      </w:r>
      <w:r w:rsidRPr="009F152C">
        <w:rPr>
          <w:rFonts w:ascii="Arial" w:hAnsi="Arial" w:cs="Arial"/>
          <w:b/>
          <w:i/>
          <w:sz w:val="20"/>
          <w:szCs w:val="20"/>
        </w:rPr>
        <w:lastRenderedPageBreak/>
        <w:t>médio prazo), geraria ineficiência econômica na relação comercial entre postos revendedores e distribuidoras, em favor destas, o que agravaria as preocupações concorrenciais no médio e longo prazo</w:t>
      </w:r>
      <w:r w:rsidRPr="009F152C">
        <w:rPr>
          <w:rFonts w:ascii="Arial" w:hAnsi="Arial" w:cs="Arial"/>
          <w:i/>
          <w:sz w:val="20"/>
          <w:szCs w:val="20"/>
        </w:rPr>
        <w:t xml:space="preserve">. Tendo a Ipiranga maior poder e havendo probabilidade de seu </w:t>
      </w:r>
      <w:r w:rsidRPr="009F152C">
        <w:rPr>
          <w:rFonts w:ascii="Arial" w:hAnsi="Arial" w:cs="Arial"/>
          <w:b/>
          <w:i/>
          <w:sz w:val="20"/>
          <w:szCs w:val="20"/>
        </w:rPr>
        <w:t xml:space="preserve">exercício unilateralmente (via uma política comercial mais agressiva, seja </w:t>
      </w:r>
      <w:r w:rsidRPr="00A828BA">
        <w:rPr>
          <w:rFonts w:ascii="Arial" w:hAnsi="Arial" w:cs="Arial"/>
          <w:b/>
          <w:i/>
          <w:sz w:val="20"/>
          <w:szCs w:val="20"/>
          <w:u w:val="single"/>
        </w:rPr>
        <w:t>no preço, seja na imposição de outras obrigações contratuais</w:t>
      </w:r>
      <w:r w:rsidRPr="009F152C">
        <w:rPr>
          <w:rFonts w:ascii="Arial" w:hAnsi="Arial" w:cs="Arial"/>
          <w:i/>
          <w:sz w:val="20"/>
          <w:szCs w:val="20"/>
        </w:rPr>
        <w:t xml:space="preserve">), os </w:t>
      </w:r>
      <w:r w:rsidRPr="009F152C">
        <w:rPr>
          <w:rFonts w:ascii="Arial" w:hAnsi="Arial" w:cs="Arial"/>
          <w:b/>
          <w:i/>
          <w:sz w:val="20"/>
          <w:szCs w:val="20"/>
        </w:rPr>
        <w:t xml:space="preserve">postos bandeira branca ou aqueles que se encontram na posição intermediária, entre ser um posto bandeira branca e </w:t>
      </w:r>
      <w:r w:rsidRPr="00A828BA">
        <w:rPr>
          <w:rFonts w:ascii="Arial" w:hAnsi="Arial" w:cs="Arial"/>
          <w:b/>
          <w:i/>
          <w:sz w:val="20"/>
          <w:szCs w:val="20"/>
          <w:u w:val="single"/>
        </w:rPr>
        <w:t>pertencer cativamente a uma das três grandes</w:t>
      </w:r>
      <w:r w:rsidRPr="009F152C">
        <w:rPr>
          <w:rFonts w:ascii="Arial" w:hAnsi="Arial" w:cs="Arial"/>
          <w:b/>
          <w:i/>
          <w:sz w:val="20"/>
          <w:szCs w:val="20"/>
        </w:rPr>
        <w:t xml:space="preserve"> redes nacionais, teriam suas </w:t>
      </w:r>
      <w:r w:rsidRPr="00A828BA">
        <w:rPr>
          <w:rFonts w:ascii="Arial" w:hAnsi="Arial" w:cs="Arial"/>
          <w:b/>
          <w:i/>
          <w:sz w:val="20"/>
          <w:szCs w:val="20"/>
          <w:u w:val="single"/>
        </w:rPr>
        <w:t>margens comprimidas</w:t>
      </w:r>
      <w:r w:rsidRPr="009F152C">
        <w:rPr>
          <w:rFonts w:ascii="Arial" w:hAnsi="Arial" w:cs="Arial"/>
          <w:b/>
          <w:i/>
          <w:sz w:val="20"/>
          <w:szCs w:val="20"/>
        </w:rPr>
        <w:t xml:space="preserve"> e poderiam ser eventualmente </w:t>
      </w:r>
      <w:r w:rsidRPr="009F152C">
        <w:rPr>
          <w:rFonts w:ascii="Arial" w:hAnsi="Arial" w:cs="Arial"/>
          <w:b/>
          <w:i/>
          <w:sz w:val="20"/>
          <w:szCs w:val="20"/>
          <w:u w:val="single"/>
        </w:rPr>
        <w:t>forçados a se embandeirar</w:t>
      </w:r>
      <w:r w:rsidRPr="009F152C">
        <w:rPr>
          <w:rFonts w:ascii="Arial" w:hAnsi="Arial" w:cs="Arial"/>
          <w:b/>
          <w:i/>
          <w:sz w:val="20"/>
          <w:szCs w:val="20"/>
        </w:rPr>
        <w:t xml:space="preserve"> ou a sair do mercado, reduzindo alternativas ao consumidor final</w:t>
      </w:r>
      <w:r w:rsidRPr="009F152C">
        <w:rPr>
          <w:rFonts w:ascii="Arial" w:hAnsi="Arial" w:cs="Arial"/>
          <w:i/>
          <w:sz w:val="20"/>
          <w:szCs w:val="20"/>
        </w:rPr>
        <w:t xml:space="preserve">. Além disso, com a maior probabilidade de exercício de poder coordenado, as </w:t>
      </w:r>
      <w:r w:rsidRPr="009F152C">
        <w:rPr>
          <w:rFonts w:ascii="Arial" w:hAnsi="Arial" w:cs="Arial"/>
          <w:b/>
          <w:i/>
          <w:sz w:val="20"/>
          <w:szCs w:val="20"/>
        </w:rPr>
        <w:t>três grandes distribuidoras que sobrariam no mercado poderiam, explícita ou tacitamente, alinhar preços e puxar o restante do mercado</w:t>
      </w:r>
      <w:r w:rsidRPr="009F152C">
        <w:rPr>
          <w:rFonts w:ascii="Arial" w:hAnsi="Arial" w:cs="Arial"/>
          <w:i/>
          <w:sz w:val="20"/>
          <w:szCs w:val="20"/>
        </w:rPr>
        <w:t xml:space="preserve">, gerando </w:t>
      </w:r>
      <w:r w:rsidRPr="009F152C">
        <w:rPr>
          <w:rFonts w:ascii="Arial" w:hAnsi="Arial" w:cs="Arial"/>
          <w:b/>
          <w:i/>
          <w:sz w:val="20"/>
          <w:szCs w:val="20"/>
        </w:rPr>
        <w:t>efeito análogo de redução de margens</w:t>
      </w:r>
      <w:r w:rsidRPr="009F152C">
        <w:rPr>
          <w:rFonts w:ascii="Arial" w:hAnsi="Arial" w:cs="Arial"/>
          <w:i/>
          <w:sz w:val="20"/>
          <w:szCs w:val="20"/>
        </w:rPr>
        <w:t xml:space="preserve">, mas de forma generalizada por </w:t>
      </w:r>
      <w:r w:rsidRPr="009F152C">
        <w:rPr>
          <w:rFonts w:ascii="Arial" w:hAnsi="Arial" w:cs="Arial"/>
          <w:b/>
          <w:i/>
          <w:sz w:val="20"/>
          <w:szCs w:val="20"/>
        </w:rPr>
        <w:t>todo o setor de revenda</w:t>
      </w:r>
      <w:r w:rsidRPr="009F152C">
        <w:rPr>
          <w:rFonts w:ascii="Arial" w:hAnsi="Arial" w:cs="Arial"/>
          <w:i/>
          <w:sz w:val="20"/>
          <w:szCs w:val="20"/>
        </w:rPr>
        <w:t xml:space="preserve">. A operação, portanto, só poderia ser aprovada mediante a </w:t>
      </w:r>
      <w:r w:rsidRPr="009F152C">
        <w:rPr>
          <w:rFonts w:ascii="Arial" w:hAnsi="Arial" w:cs="Arial"/>
          <w:b/>
          <w:i/>
          <w:sz w:val="20"/>
          <w:szCs w:val="20"/>
        </w:rPr>
        <w:t>aplicação de remédios também, e principalmente, na distribuição</w:t>
      </w:r>
    </w:p>
    <w:p w:rsidR="0057659E" w:rsidRDefault="0057659E" w:rsidP="009F152C">
      <w:pPr>
        <w:ind w:left="1416"/>
        <w:jc w:val="both"/>
        <w:rPr>
          <w:rFonts w:ascii="Arial" w:hAnsi="Arial" w:cs="Arial"/>
          <w:sz w:val="20"/>
          <w:szCs w:val="20"/>
        </w:rPr>
      </w:pPr>
      <w:r>
        <w:rPr>
          <w:rFonts w:ascii="Arial" w:hAnsi="Arial" w:cs="Arial"/>
          <w:sz w:val="20"/>
          <w:szCs w:val="20"/>
        </w:rPr>
        <w:t>...............................................................................................................................</w:t>
      </w:r>
    </w:p>
    <w:p w:rsidR="0057659E" w:rsidRDefault="0057659E" w:rsidP="009F152C">
      <w:pPr>
        <w:ind w:left="1416"/>
        <w:jc w:val="both"/>
        <w:rPr>
          <w:rFonts w:ascii="Arial" w:hAnsi="Arial" w:cs="Arial"/>
          <w:sz w:val="20"/>
          <w:szCs w:val="20"/>
        </w:rPr>
      </w:pPr>
    </w:p>
    <w:p w:rsidR="0057659E" w:rsidRDefault="0057659E" w:rsidP="009F152C">
      <w:pPr>
        <w:ind w:left="1416"/>
        <w:jc w:val="both"/>
        <w:rPr>
          <w:rFonts w:ascii="Arial" w:hAnsi="Arial" w:cs="Arial"/>
          <w:i/>
          <w:sz w:val="20"/>
          <w:szCs w:val="20"/>
        </w:rPr>
      </w:pPr>
      <w:r w:rsidRPr="0057659E">
        <w:rPr>
          <w:rFonts w:ascii="Arial" w:hAnsi="Arial" w:cs="Arial"/>
          <w:i/>
          <w:sz w:val="20"/>
          <w:szCs w:val="20"/>
        </w:rPr>
        <w:t xml:space="preserve">167. Assim, tendo em vista todo o exposto ao longo desta análise, a única possibilidade que vislumbro para </w:t>
      </w:r>
      <w:r w:rsidRPr="00A828BA">
        <w:rPr>
          <w:rFonts w:ascii="Arial" w:hAnsi="Arial" w:cs="Arial"/>
          <w:b/>
          <w:i/>
          <w:sz w:val="20"/>
          <w:szCs w:val="20"/>
        </w:rPr>
        <w:t>sanar os problemas concorrenciais identificados</w:t>
      </w:r>
      <w:r w:rsidRPr="0057659E">
        <w:rPr>
          <w:rFonts w:ascii="Arial" w:hAnsi="Arial" w:cs="Arial"/>
          <w:i/>
          <w:sz w:val="20"/>
          <w:szCs w:val="20"/>
        </w:rPr>
        <w:t xml:space="preserve"> seria </w:t>
      </w:r>
      <w:r w:rsidRPr="00A828BA">
        <w:rPr>
          <w:rFonts w:ascii="Arial" w:hAnsi="Arial" w:cs="Arial"/>
          <w:b/>
          <w:i/>
          <w:sz w:val="20"/>
          <w:szCs w:val="20"/>
        </w:rPr>
        <w:t>alienar</w:t>
      </w:r>
      <w:r w:rsidRPr="0057659E">
        <w:rPr>
          <w:rFonts w:ascii="Arial" w:hAnsi="Arial" w:cs="Arial"/>
          <w:i/>
          <w:sz w:val="20"/>
          <w:szCs w:val="20"/>
        </w:rPr>
        <w:t xml:space="preserve"> na integralidade todos os ativos relevantes de distribuição da Alesat (próprios ou alugados) nos mercados regionais problemáticos. Por </w:t>
      </w:r>
      <w:r w:rsidRPr="00A828BA">
        <w:rPr>
          <w:rFonts w:ascii="Arial" w:hAnsi="Arial" w:cs="Arial"/>
          <w:b/>
          <w:i/>
          <w:sz w:val="20"/>
          <w:szCs w:val="20"/>
        </w:rPr>
        <w:t>alienar ativos</w:t>
      </w:r>
      <w:r w:rsidRPr="0057659E">
        <w:rPr>
          <w:rFonts w:ascii="Arial" w:hAnsi="Arial" w:cs="Arial"/>
          <w:i/>
          <w:sz w:val="20"/>
          <w:szCs w:val="20"/>
        </w:rPr>
        <w:t xml:space="preserve"> entenda-se:</w:t>
      </w:r>
    </w:p>
    <w:p w:rsidR="0057659E" w:rsidRDefault="0057659E" w:rsidP="0057659E">
      <w:pPr>
        <w:jc w:val="both"/>
        <w:rPr>
          <w:rFonts w:ascii="Arial" w:hAnsi="Arial" w:cs="Arial"/>
          <w:sz w:val="20"/>
          <w:szCs w:val="20"/>
        </w:rPr>
      </w:pPr>
    </w:p>
    <w:p w:rsidR="0057659E" w:rsidRPr="0057659E" w:rsidRDefault="0057659E" w:rsidP="0057659E">
      <w:pPr>
        <w:ind w:left="2124"/>
        <w:jc w:val="both"/>
        <w:rPr>
          <w:rFonts w:ascii="Arial" w:hAnsi="Arial" w:cs="Arial"/>
          <w:i/>
          <w:sz w:val="20"/>
          <w:szCs w:val="20"/>
        </w:rPr>
      </w:pPr>
      <w:r w:rsidRPr="0057659E">
        <w:rPr>
          <w:rFonts w:ascii="Arial" w:hAnsi="Arial" w:cs="Arial"/>
          <w:i/>
          <w:sz w:val="20"/>
          <w:szCs w:val="20"/>
        </w:rPr>
        <w:t>1. Venda (ou cessão de contratos de aluguel) de todas as bases primárias e secundárias;</w:t>
      </w:r>
    </w:p>
    <w:p w:rsidR="0057659E" w:rsidRPr="0057659E" w:rsidRDefault="0057659E" w:rsidP="0057659E">
      <w:pPr>
        <w:ind w:left="2124"/>
        <w:jc w:val="both"/>
        <w:rPr>
          <w:rFonts w:ascii="Arial" w:hAnsi="Arial" w:cs="Arial"/>
          <w:b/>
          <w:i/>
          <w:sz w:val="20"/>
          <w:szCs w:val="20"/>
        </w:rPr>
      </w:pPr>
      <w:r w:rsidRPr="0057659E">
        <w:rPr>
          <w:rFonts w:ascii="Arial" w:hAnsi="Arial" w:cs="Arial"/>
          <w:b/>
          <w:i/>
          <w:sz w:val="20"/>
          <w:szCs w:val="20"/>
        </w:rPr>
        <w:t>2. Cessão dos contratos de embandeiramento com postos revendedores de toda a rede da Alesat;</w:t>
      </w:r>
    </w:p>
    <w:p w:rsidR="0057659E" w:rsidRPr="0057659E" w:rsidRDefault="0057659E" w:rsidP="0057659E">
      <w:pPr>
        <w:ind w:left="2124"/>
        <w:jc w:val="both"/>
        <w:rPr>
          <w:rFonts w:ascii="Arial" w:hAnsi="Arial" w:cs="Arial"/>
          <w:i/>
          <w:sz w:val="20"/>
          <w:szCs w:val="20"/>
        </w:rPr>
      </w:pPr>
      <w:r w:rsidRPr="0057659E">
        <w:rPr>
          <w:rFonts w:ascii="Arial" w:hAnsi="Arial" w:cs="Arial"/>
          <w:i/>
          <w:sz w:val="20"/>
          <w:szCs w:val="20"/>
        </w:rPr>
        <w:t>3. Alienação dos veículos e/ou cessão dos contratos de frete, quando for o caso;</w:t>
      </w:r>
    </w:p>
    <w:p w:rsidR="0057659E" w:rsidRPr="0057659E" w:rsidRDefault="0057659E" w:rsidP="0057659E">
      <w:pPr>
        <w:ind w:left="2124"/>
        <w:jc w:val="both"/>
        <w:rPr>
          <w:rFonts w:ascii="Arial" w:hAnsi="Arial" w:cs="Arial"/>
          <w:i/>
          <w:sz w:val="20"/>
          <w:szCs w:val="20"/>
        </w:rPr>
      </w:pPr>
      <w:r w:rsidRPr="0057659E">
        <w:rPr>
          <w:rFonts w:ascii="Arial" w:hAnsi="Arial" w:cs="Arial"/>
          <w:i/>
          <w:sz w:val="20"/>
          <w:szCs w:val="20"/>
        </w:rPr>
        <w:t>4. Cessão dos contratos com funcionários envolvidos nas operações da empresa;</w:t>
      </w:r>
    </w:p>
    <w:p w:rsidR="0057659E" w:rsidRDefault="0057659E" w:rsidP="0057659E">
      <w:pPr>
        <w:ind w:left="2124"/>
        <w:jc w:val="both"/>
        <w:rPr>
          <w:rFonts w:ascii="Arial" w:hAnsi="Arial" w:cs="Arial"/>
          <w:b/>
          <w:i/>
          <w:sz w:val="20"/>
          <w:szCs w:val="20"/>
        </w:rPr>
      </w:pPr>
      <w:r w:rsidRPr="0057659E">
        <w:rPr>
          <w:rFonts w:ascii="Arial" w:hAnsi="Arial" w:cs="Arial"/>
          <w:b/>
          <w:i/>
          <w:sz w:val="20"/>
          <w:szCs w:val="20"/>
        </w:rPr>
        <w:t>5. Alienação das marcas/bandeiras regionais detidas pela Alesat, e adquiridas por meio de fusões pretéritas</w:t>
      </w:r>
    </w:p>
    <w:p w:rsidR="0057659E" w:rsidRDefault="0057659E" w:rsidP="0057659E">
      <w:pPr>
        <w:ind w:left="2124"/>
        <w:jc w:val="both"/>
        <w:rPr>
          <w:rFonts w:ascii="Arial" w:hAnsi="Arial" w:cs="Arial"/>
          <w:sz w:val="20"/>
          <w:szCs w:val="20"/>
        </w:rPr>
      </w:pPr>
    </w:p>
    <w:p w:rsidR="0057659E" w:rsidRPr="0057659E" w:rsidRDefault="0057659E" w:rsidP="0057659E">
      <w:pPr>
        <w:ind w:left="1416"/>
        <w:jc w:val="both"/>
        <w:rPr>
          <w:rFonts w:ascii="Arial" w:hAnsi="Arial" w:cs="Arial"/>
          <w:i/>
          <w:sz w:val="20"/>
          <w:szCs w:val="20"/>
        </w:rPr>
      </w:pPr>
      <w:r w:rsidRPr="0057659E">
        <w:rPr>
          <w:rFonts w:ascii="Arial" w:hAnsi="Arial" w:cs="Arial"/>
          <w:i/>
          <w:sz w:val="20"/>
          <w:szCs w:val="20"/>
        </w:rPr>
        <w:t xml:space="preserve">168. Em outras palavras, trataria de se cindir a Alesat em diferentes estados, sob um novo CNPJ, e repassar essa nova empresa estadual para um entrante ou rival de porte intermediário, </w:t>
      </w:r>
      <w:r w:rsidRPr="00A828BA">
        <w:rPr>
          <w:rFonts w:ascii="Arial" w:hAnsi="Arial" w:cs="Arial"/>
          <w:b/>
          <w:i/>
          <w:sz w:val="20"/>
          <w:szCs w:val="20"/>
        </w:rPr>
        <w:t>excluindo-se, obviamente, a venda para as duas outras grandes distribuidoras nacionais, BR e Raízen</w:t>
      </w:r>
      <w:r w:rsidRPr="0057659E">
        <w:rPr>
          <w:rFonts w:ascii="Arial" w:hAnsi="Arial" w:cs="Arial"/>
          <w:i/>
          <w:sz w:val="20"/>
          <w:szCs w:val="20"/>
        </w:rPr>
        <w:t>, ou para players específicos em alguns mercados, em especial à SP no Ceará, à Total no Tocantins, e à FAN no Rio Grande do Norte, pois nesses casos a nova empresa se tornaria o segundo maior player regional. Por fim, todo esse desinvestimento deveria ser realizado antes da consumação da operação.</w:t>
      </w:r>
    </w:p>
    <w:p w:rsidR="0057659E" w:rsidRPr="0057659E" w:rsidRDefault="0057659E" w:rsidP="0057659E">
      <w:pPr>
        <w:ind w:left="1416"/>
        <w:jc w:val="both"/>
        <w:rPr>
          <w:rFonts w:ascii="Arial" w:hAnsi="Arial" w:cs="Arial"/>
          <w:i/>
          <w:sz w:val="20"/>
          <w:szCs w:val="20"/>
        </w:rPr>
      </w:pPr>
    </w:p>
    <w:p w:rsidR="009F152C" w:rsidRDefault="0057659E" w:rsidP="0057659E">
      <w:pPr>
        <w:ind w:left="1416"/>
        <w:jc w:val="both"/>
        <w:rPr>
          <w:rFonts w:ascii="Arial" w:hAnsi="Arial" w:cs="Arial"/>
          <w:sz w:val="20"/>
          <w:szCs w:val="20"/>
        </w:rPr>
      </w:pPr>
      <w:r w:rsidRPr="0057659E">
        <w:rPr>
          <w:rFonts w:ascii="Arial" w:hAnsi="Arial" w:cs="Arial"/>
          <w:i/>
          <w:sz w:val="20"/>
          <w:szCs w:val="20"/>
        </w:rPr>
        <w:t xml:space="preserve">169. </w:t>
      </w:r>
      <w:r w:rsidRPr="0057659E">
        <w:rPr>
          <w:rFonts w:ascii="Arial" w:hAnsi="Arial" w:cs="Arial"/>
          <w:b/>
          <w:i/>
          <w:sz w:val="20"/>
          <w:szCs w:val="20"/>
        </w:rPr>
        <w:t>A venda da totalidade dos ativos nos mercados regionais com problemas concorrenciais garante a manutenção de um agente com condições de competir com as grandes distribuidoras nesses mercados</w:t>
      </w:r>
      <w:r w:rsidRPr="0057659E">
        <w:rPr>
          <w:rFonts w:ascii="Arial" w:hAnsi="Arial" w:cs="Arial"/>
          <w:i/>
          <w:sz w:val="20"/>
          <w:szCs w:val="20"/>
        </w:rPr>
        <w:t xml:space="preserve">. Aliás, vale lembrar que o fortalecimento da Alesat nos últimos anos, a partir da aprovação de quatro operações, teve o intuito justamente de garantir a existência desse player, alguém com porte suficiente para se </w:t>
      </w:r>
      <w:r w:rsidRPr="0057659E">
        <w:rPr>
          <w:rFonts w:ascii="Arial" w:hAnsi="Arial" w:cs="Arial"/>
          <w:b/>
          <w:i/>
          <w:sz w:val="20"/>
          <w:szCs w:val="20"/>
        </w:rPr>
        <w:t>tornar um rival efetivo e fazer frente às grandes marcas</w:t>
      </w:r>
      <w:r w:rsidRPr="0057659E">
        <w:rPr>
          <w:rFonts w:ascii="Arial" w:hAnsi="Arial" w:cs="Arial"/>
          <w:i/>
          <w:sz w:val="20"/>
          <w:szCs w:val="20"/>
        </w:rPr>
        <w:t>. Sua saída requer, nesses onze mercados, a sua exata substituição</w:t>
      </w:r>
      <w:r w:rsidR="009F152C">
        <w:rPr>
          <w:rFonts w:ascii="Arial" w:hAnsi="Arial" w:cs="Arial"/>
          <w:sz w:val="20"/>
          <w:szCs w:val="20"/>
        </w:rPr>
        <w:t>”</w:t>
      </w:r>
      <w:r w:rsidR="009F152C" w:rsidRPr="009F152C">
        <w:rPr>
          <w:rFonts w:ascii="Arial" w:hAnsi="Arial" w:cs="Arial"/>
          <w:sz w:val="20"/>
          <w:szCs w:val="20"/>
        </w:rPr>
        <w:t>.</w:t>
      </w:r>
      <w:r w:rsidR="009F152C">
        <w:rPr>
          <w:rFonts w:ascii="Arial" w:hAnsi="Arial" w:cs="Arial"/>
          <w:sz w:val="20"/>
          <w:szCs w:val="20"/>
        </w:rPr>
        <w:t xml:space="preserve"> (Destacamos)</w:t>
      </w:r>
    </w:p>
    <w:p w:rsidR="009F152C" w:rsidRPr="009F152C" w:rsidRDefault="009F152C" w:rsidP="009F152C">
      <w:pPr>
        <w:ind w:left="1416"/>
        <w:jc w:val="both"/>
        <w:rPr>
          <w:rFonts w:ascii="Arial" w:hAnsi="Arial" w:cs="Arial"/>
        </w:rPr>
      </w:pPr>
    </w:p>
    <w:p w:rsidR="00661A11" w:rsidRDefault="009F152C" w:rsidP="00AC584B">
      <w:pPr>
        <w:jc w:val="both"/>
        <w:rPr>
          <w:rFonts w:ascii="Arial" w:hAnsi="Arial" w:cs="Arial"/>
        </w:rPr>
      </w:pPr>
      <w:r w:rsidRPr="009F152C">
        <w:rPr>
          <w:rFonts w:ascii="Arial" w:hAnsi="Arial" w:cs="Arial"/>
        </w:rPr>
        <w:tab/>
      </w:r>
      <w:r w:rsidR="00EE7926">
        <w:rPr>
          <w:rFonts w:ascii="Arial" w:hAnsi="Arial" w:cs="Arial"/>
        </w:rPr>
        <w:t xml:space="preserve">Observa-se ainda que, embora o então Conselheiro Alexandre Cordeiro, que atualmente ocupa o cargo de </w:t>
      </w:r>
      <w:r w:rsidR="00661A11">
        <w:rPr>
          <w:rFonts w:ascii="Arial" w:hAnsi="Arial" w:cs="Arial"/>
        </w:rPr>
        <w:t xml:space="preserve">Superintendente-Geral do CADE, tenha de certa forma divergido em alguns pontos dos fundamentos apresentados pelo Conselheiro João Paulo Resende para decidir pela reprovação da operação de aquisição da Alesat pela Ipiranga, também chamou a atenção para os </w:t>
      </w:r>
      <w:r w:rsidR="00661A11" w:rsidRPr="00A828BA">
        <w:rPr>
          <w:rFonts w:ascii="Arial" w:hAnsi="Arial" w:cs="Arial"/>
          <w:b/>
        </w:rPr>
        <w:lastRenderedPageBreak/>
        <w:t>problemas competitivos gerados pelos acordos de exclusividade</w:t>
      </w:r>
      <w:r w:rsidR="00661A11">
        <w:rPr>
          <w:rFonts w:ascii="Arial" w:hAnsi="Arial" w:cs="Arial"/>
        </w:rPr>
        <w:t xml:space="preserve"> celebrados entre as distribuidoras dominantes e revendedores, indicando, por exemplo, que uma das </w:t>
      </w:r>
      <w:r w:rsidR="00661A11" w:rsidRPr="00A828BA">
        <w:rPr>
          <w:rFonts w:ascii="Arial" w:hAnsi="Arial" w:cs="Arial"/>
          <w:b/>
        </w:rPr>
        <w:t>medidas possíveis para solucioná-los</w:t>
      </w:r>
      <w:r w:rsidR="00661A11">
        <w:rPr>
          <w:rFonts w:ascii="Arial" w:hAnsi="Arial" w:cs="Arial"/>
        </w:rPr>
        <w:t xml:space="preserve"> seria, exatamente, a </w:t>
      </w:r>
      <w:r w:rsidR="00661A11" w:rsidRPr="00A828BA">
        <w:rPr>
          <w:rFonts w:ascii="Arial" w:hAnsi="Arial" w:cs="Arial"/>
          <w:b/>
        </w:rPr>
        <w:t>alienação desses contratos</w:t>
      </w:r>
      <w:r w:rsidR="00661A11">
        <w:rPr>
          <w:rFonts w:ascii="Arial" w:hAnsi="Arial" w:cs="Arial"/>
        </w:rPr>
        <w:t xml:space="preserve">, conforme sugerido pelas Requerentes, </w:t>
      </w:r>
      <w:r w:rsidR="00661A11">
        <w:rPr>
          <w:rFonts w:ascii="Arial" w:hAnsi="Arial" w:cs="Arial"/>
          <w:i/>
        </w:rPr>
        <w:t>in verbis</w:t>
      </w:r>
      <w:r w:rsidR="00661A11">
        <w:rPr>
          <w:rFonts w:ascii="Arial" w:hAnsi="Arial" w:cs="Arial"/>
        </w:rPr>
        <w:t>:</w:t>
      </w:r>
    </w:p>
    <w:p w:rsidR="005A2012" w:rsidRPr="00661A11" w:rsidRDefault="005A2012" w:rsidP="00AC584B">
      <w:pPr>
        <w:jc w:val="both"/>
        <w:rPr>
          <w:rFonts w:ascii="Arial" w:hAnsi="Arial" w:cs="Arial"/>
          <w:sz w:val="20"/>
          <w:szCs w:val="20"/>
        </w:rPr>
      </w:pPr>
    </w:p>
    <w:p w:rsidR="00CA31A3" w:rsidRDefault="00661A11" w:rsidP="00661A11">
      <w:pPr>
        <w:ind w:left="1416"/>
        <w:jc w:val="both"/>
        <w:rPr>
          <w:rFonts w:ascii="Arial" w:hAnsi="Arial" w:cs="Arial"/>
          <w:i/>
          <w:sz w:val="20"/>
          <w:szCs w:val="20"/>
        </w:rPr>
      </w:pPr>
      <w:r w:rsidRPr="00661A11">
        <w:rPr>
          <w:rFonts w:ascii="Arial" w:hAnsi="Arial" w:cs="Arial"/>
          <w:sz w:val="20"/>
          <w:szCs w:val="20"/>
        </w:rPr>
        <w:t>“</w:t>
      </w:r>
      <w:r w:rsidRPr="00661A11">
        <w:rPr>
          <w:rFonts w:ascii="Arial" w:hAnsi="Arial" w:cs="Arial"/>
          <w:i/>
          <w:sz w:val="20"/>
          <w:szCs w:val="20"/>
        </w:rPr>
        <w:t xml:space="preserve">42. Com vistas a mitigar os problemas concorrenciais mapeados no presente processo administrativo, </w:t>
      </w:r>
      <w:r w:rsidRPr="00661A11">
        <w:rPr>
          <w:rFonts w:ascii="Arial" w:hAnsi="Arial" w:cs="Arial"/>
          <w:b/>
          <w:i/>
          <w:sz w:val="20"/>
          <w:szCs w:val="20"/>
        </w:rPr>
        <w:t>as requerentes propuseram a celebração de acordo em controle de concentração (ACC)</w:t>
      </w:r>
      <w:r w:rsidRPr="00661A11">
        <w:rPr>
          <w:rFonts w:ascii="Arial" w:hAnsi="Arial" w:cs="Arial"/>
          <w:i/>
          <w:sz w:val="20"/>
          <w:szCs w:val="20"/>
        </w:rPr>
        <w:t>.</w:t>
      </w:r>
    </w:p>
    <w:p w:rsidR="00661A11" w:rsidRDefault="00661A11" w:rsidP="00661A11">
      <w:pPr>
        <w:ind w:left="1416"/>
        <w:jc w:val="both"/>
        <w:rPr>
          <w:rFonts w:ascii="Arial" w:hAnsi="Arial" w:cs="Arial"/>
          <w:i/>
          <w:sz w:val="20"/>
          <w:szCs w:val="20"/>
        </w:rPr>
      </w:pPr>
    </w:p>
    <w:p w:rsidR="00661A11" w:rsidRDefault="00661A11" w:rsidP="00661A11">
      <w:pPr>
        <w:ind w:left="1416"/>
        <w:jc w:val="both"/>
        <w:rPr>
          <w:rFonts w:ascii="Arial" w:hAnsi="Arial" w:cs="Arial"/>
          <w:i/>
          <w:sz w:val="20"/>
          <w:szCs w:val="20"/>
        </w:rPr>
      </w:pPr>
      <w:r>
        <w:rPr>
          <w:rFonts w:ascii="Arial" w:hAnsi="Arial" w:cs="Arial"/>
          <w:i/>
          <w:sz w:val="20"/>
          <w:szCs w:val="20"/>
        </w:rPr>
        <w:t xml:space="preserve">43. </w:t>
      </w:r>
      <w:r w:rsidRPr="00661A11">
        <w:rPr>
          <w:rFonts w:ascii="Arial" w:hAnsi="Arial" w:cs="Arial"/>
          <w:i/>
          <w:sz w:val="20"/>
          <w:szCs w:val="20"/>
        </w:rPr>
        <w:t>O remédio envolveria a alienação de ativos nos mercados relevantes de distribuição e revenda de cesta de combustíveis líquidos (gasolina C, óleo diesel e etanol hidratado).</w:t>
      </w:r>
    </w:p>
    <w:p w:rsidR="00661A11" w:rsidRDefault="00661A11" w:rsidP="00661A11">
      <w:pPr>
        <w:ind w:left="1416"/>
        <w:jc w:val="both"/>
        <w:rPr>
          <w:rFonts w:ascii="Arial" w:hAnsi="Arial" w:cs="Arial"/>
          <w:i/>
          <w:sz w:val="20"/>
          <w:szCs w:val="20"/>
        </w:rPr>
      </w:pPr>
    </w:p>
    <w:p w:rsidR="00661A11" w:rsidRDefault="00661A11" w:rsidP="00F3583C">
      <w:pPr>
        <w:ind w:left="1416"/>
        <w:jc w:val="both"/>
        <w:rPr>
          <w:rFonts w:ascii="Arial" w:hAnsi="Arial" w:cs="Arial"/>
          <w:i/>
          <w:sz w:val="20"/>
          <w:szCs w:val="20"/>
        </w:rPr>
      </w:pPr>
      <w:r>
        <w:rPr>
          <w:rFonts w:ascii="Arial" w:hAnsi="Arial" w:cs="Arial"/>
          <w:i/>
          <w:sz w:val="20"/>
          <w:szCs w:val="20"/>
        </w:rPr>
        <w:t xml:space="preserve">44. </w:t>
      </w:r>
      <w:r w:rsidRPr="00661A11">
        <w:rPr>
          <w:rFonts w:ascii="Arial" w:hAnsi="Arial" w:cs="Arial"/>
          <w:b/>
          <w:i/>
          <w:sz w:val="20"/>
          <w:szCs w:val="20"/>
        </w:rPr>
        <w:t xml:space="preserve">Para extirpar preocupações concorrenciais na revenda foi proposto </w:t>
      </w:r>
      <w:r w:rsidRPr="00661A11">
        <w:rPr>
          <w:rFonts w:ascii="Arial" w:hAnsi="Arial" w:cs="Arial"/>
          <w:b/>
          <w:i/>
          <w:sz w:val="20"/>
          <w:szCs w:val="20"/>
          <w:u w:val="single"/>
        </w:rPr>
        <w:t>alienar posição contratual em contratos de revenda com exclusividade no fornecimento</w:t>
      </w:r>
      <w:r w:rsidRPr="00661A11">
        <w:rPr>
          <w:rFonts w:ascii="Arial" w:hAnsi="Arial" w:cs="Arial"/>
          <w:b/>
          <w:i/>
          <w:sz w:val="20"/>
          <w:szCs w:val="20"/>
        </w:rPr>
        <w:t xml:space="preserve"> em favor do distribuidor (contratos de “embandeiramento”) em todos os municípios ou bairros (para município com mais de 200 mil habitantes) em que houvesse sobreposição e que da operação resultasse concentração superior a 20%</w:t>
      </w:r>
      <w:r w:rsidRPr="00661A11">
        <w:rPr>
          <w:rFonts w:ascii="Arial" w:hAnsi="Arial" w:cs="Arial"/>
          <w:i/>
          <w:sz w:val="20"/>
          <w:szCs w:val="20"/>
        </w:rPr>
        <w:t>, tendo em conta neste cálculo o número de postos de revenda com atuação no mercado geográfico. Entendo como efetivo remédio em tal mercado, já que a partir dele rejeita-se à operação causar, em qualquer caso, concentração que permita presumir existência de poder de mercado (art. 36, §2o da Lei no 12.529/2011).</w:t>
      </w:r>
    </w:p>
    <w:p w:rsidR="00661A11" w:rsidRPr="00661A11" w:rsidRDefault="00661A11" w:rsidP="00661A11">
      <w:pPr>
        <w:ind w:left="1416"/>
        <w:jc w:val="both"/>
        <w:rPr>
          <w:rFonts w:ascii="Arial" w:hAnsi="Arial" w:cs="Arial"/>
          <w:i/>
          <w:sz w:val="20"/>
          <w:szCs w:val="20"/>
        </w:rPr>
      </w:pPr>
      <w:r>
        <w:rPr>
          <w:rFonts w:ascii="Arial" w:hAnsi="Arial" w:cs="Arial"/>
          <w:i/>
          <w:sz w:val="20"/>
          <w:szCs w:val="20"/>
        </w:rPr>
        <w:t>...............................................................................................................................</w:t>
      </w:r>
    </w:p>
    <w:p w:rsidR="00661A11" w:rsidRDefault="00661A11" w:rsidP="00661A11">
      <w:pPr>
        <w:ind w:left="1416"/>
        <w:jc w:val="both"/>
        <w:rPr>
          <w:rFonts w:ascii="Arial" w:hAnsi="Arial" w:cs="Arial"/>
          <w:i/>
          <w:sz w:val="20"/>
          <w:szCs w:val="20"/>
        </w:rPr>
      </w:pPr>
    </w:p>
    <w:p w:rsidR="00661A11" w:rsidRPr="00661A11" w:rsidRDefault="00661A11" w:rsidP="00661A11">
      <w:pPr>
        <w:ind w:left="1416"/>
        <w:jc w:val="both"/>
        <w:rPr>
          <w:rFonts w:ascii="Arial" w:hAnsi="Arial" w:cs="Arial"/>
          <w:i/>
          <w:sz w:val="20"/>
          <w:szCs w:val="20"/>
        </w:rPr>
      </w:pPr>
      <w:r w:rsidRPr="00661A11">
        <w:rPr>
          <w:rFonts w:ascii="Arial" w:hAnsi="Arial" w:cs="Arial"/>
          <w:i/>
          <w:sz w:val="20"/>
          <w:szCs w:val="20"/>
        </w:rPr>
        <w:t>Conclusão</w:t>
      </w:r>
    </w:p>
    <w:p w:rsidR="00661A11" w:rsidRDefault="00661A11" w:rsidP="00661A11">
      <w:pPr>
        <w:ind w:left="1416"/>
        <w:jc w:val="both"/>
        <w:rPr>
          <w:rFonts w:ascii="Arial" w:hAnsi="Arial" w:cs="Arial"/>
          <w:i/>
          <w:sz w:val="20"/>
          <w:szCs w:val="20"/>
        </w:rPr>
      </w:pPr>
    </w:p>
    <w:p w:rsidR="00661A11" w:rsidRDefault="00661A11" w:rsidP="00661A11">
      <w:pPr>
        <w:ind w:left="1416"/>
        <w:jc w:val="both"/>
        <w:rPr>
          <w:rFonts w:ascii="Arial" w:hAnsi="Arial" w:cs="Arial"/>
          <w:sz w:val="20"/>
          <w:szCs w:val="20"/>
        </w:rPr>
      </w:pPr>
      <w:r w:rsidRPr="00661A11">
        <w:rPr>
          <w:rFonts w:ascii="Arial" w:hAnsi="Arial" w:cs="Arial"/>
          <w:i/>
          <w:sz w:val="20"/>
          <w:szCs w:val="20"/>
        </w:rPr>
        <w:t xml:space="preserve">55. Com estas razões, entendo que </w:t>
      </w:r>
      <w:r w:rsidRPr="00661A11">
        <w:rPr>
          <w:rFonts w:ascii="Arial" w:hAnsi="Arial" w:cs="Arial"/>
          <w:b/>
          <w:i/>
          <w:sz w:val="20"/>
          <w:szCs w:val="20"/>
        </w:rPr>
        <w:t>os remédios apresentados na proposta de ACC endereçam os problemas concorrenciais oriundos da operação</w:t>
      </w:r>
      <w:r w:rsidRPr="00661A11">
        <w:rPr>
          <w:rFonts w:ascii="Arial" w:hAnsi="Arial" w:cs="Arial"/>
          <w:i/>
          <w:sz w:val="20"/>
          <w:szCs w:val="20"/>
        </w:rPr>
        <w:t xml:space="preserve">. Contudo, em razão ausência de maioria acerca do mérito dos remédios, a negociação de um Acordo em Controle de Concentração não evoluiu a fim que se pudesse alcançar uma minuta passível de aprovação por esse Tribunal. Sendo assim, </w:t>
      </w:r>
      <w:r w:rsidRPr="00661A11">
        <w:rPr>
          <w:rFonts w:ascii="Arial" w:hAnsi="Arial" w:cs="Arial"/>
          <w:b/>
          <w:i/>
          <w:sz w:val="20"/>
          <w:szCs w:val="20"/>
        </w:rPr>
        <w:t>divirjo do conselheiro relator quanto ao mérito da operação</w:t>
      </w:r>
      <w:r w:rsidRPr="00661A11">
        <w:rPr>
          <w:rFonts w:ascii="Arial" w:hAnsi="Arial" w:cs="Arial"/>
          <w:i/>
          <w:sz w:val="20"/>
          <w:szCs w:val="20"/>
        </w:rPr>
        <w:t xml:space="preserve">, mas o acompanho no dispositivo, votando pela </w:t>
      </w:r>
      <w:r w:rsidRPr="00661A11">
        <w:rPr>
          <w:rFonts w:ascii="Arial" w:hAnsi="Arial" w:cs="Arial"/>
          <w:b/>
          <w:i/>
          <w:sz w:val="20"/>
          <w:szCs w:val="20"/>
        </w:rPr>
        <w:t>reprovação da operação</w:t>
      </w:r>
      <w:r w:rsidRPr="00661A11">
        <w:rPr>
          <w:rFonts w:ascii="Arial" w:hAnsi="Arial" w:cs="Arial"/>
          <w:sz w:val="20"/>
          <w:szCs w:val="20"/>
        </w:rPr>
        <w:t>”.</w:t>
      </w:r>
      <w:r>
        <w:rPr>
          <w:rFonts w:ascii="Arial" w:hAnsi="Arial" w:cs="Arial"/>
          <w:sz w:val="20"/>
          <w:szCs w:val="20"/>
        </w:rPr>
        <w:t xml:space="preserve"> (Destacamos)</w:t>
      </w:r>
    </w:p>
    <w:p w:rsidR="00661A11" w:rsidRDefault="00661A11" w:rsidP="00661A11">
      <w:pPr>
        <w:ind w:left="1416"/>
        <w:jc w:val="both"/>
        <w:rPr>
          <w:rFonts w:ascii="Arial" w:hAnsi="Arial" w:cs="Arial"/>
          <w:i/>
          <w:sz w:val="20"/>
          <w:szCs w:val="20"/>
        </w:rPr>
      </w:pPr>
    </w:p>
    <w:p w:rsidR="00661A11" w:rsidRPr="008751CD" w:rsidRDefault="00ED5F13" w:rsidP="00661A11">
      <w:pPr>
        <w:jc w:val="both"/>
        <w:rPr>
          <w:rFonts w:ascii="Arial" w:hAnsi="Arial" w:cs="Arial"/>
        </w:rPr>
      </w:pPr>
      <w:r>
        <w:rPr>
          <w:rFonts w:ascii="Arial" w:hAnsi="Arial" w:cs="Arial"/>
          <w:sz w:val="20"/>
          <w:szCs w:val="20"/>
        </w:rPr>
        <w:tab/>
      </w:r>
      <w:r w:rsidRPr="008751CD">
        <w:rPr>
          <w:rFonts w:ascii="Arial" w:hAnsi="Arial" w:cs="Arial"/>
        </w:rPr>
        <w:t>Ou seja, para o Conselheiro Cordeiro</w:t>
      </w:r>
      <w:r w:rsidR="00CE0036" w:rsidRPr="008751CD">
        <w:rPr>
          <w:rFonts w:ascii="Arial" w:hAnsi="Arial" w:cs="Arial"/>
        </w:rPr>
        <w:t xml:space="preserve"> os contratos de exclusividade acarretam problemas de natureza concorrencial e, portanto, a sua alienação a distribuidoras menores (ou seja, com baixa participação de mercado) permitiria “extirpar tais preocupações concorrenciais” de forma a restabelecer um ambiente competitivo sadio nos mercados ali analisados e destacados.</w:t>
      </w:r>
    </w:p>
    <w:p w:rsidR="00CE0036" w:rsidRPr="008751CD" w:rsidRDefault="00CE0036" w:rsidP="00661A11">
      <w:pPr>
        <w:jc w:val="both"/>
        <w:rPr>
          <w:rFonts w:ascii="Arial" w:hAnsi="Arial" w:cs="Arial"/>
        </w:rPr>
      </w:pPr>
    </w:p>
    <w:p w:rsidR="002C4AE9" w:rsidRDefault="00CE0036" w:rsidP="00661A11">
      <w:pPr>
        <w:jc w:val="both"/>
        <w:rPr>
          <w:rFonts w:ascii="Arial" w:hAnsi="Arial" w:cs="Arial"/>
        </w:rPr>
      </w:pPr>
      <w:r w:rsidRPr="008751CD">
        <w:rPr>
          <w:rFonts w:ascii="Arial" w:hAnsi="Arial" w:cs="Arial"/>
        </w:rPr>
        <w:tab/>
        <w:t xml:space="preserve">Desta forma, pelos casos apresentados acima, não restam dúvidas quanto à preocupação e opinião da autoridade máxima concorrencial brasileira de que, (1) embora a atual regulação nacional proíba a verticalização societária entre distribuidora e revendedores, há, </w:t>
      </w:r>
      <w:r w:rsidRPr="008751CD">
        <w:rPr>
          <w:rFonts w:ascii="Arial" w:hAnsi="Arial" w:cs="Arial"/>
          <w:b/>
        </w:rPr>
        <w:t>de fato</w:t>
      </w:r>
      <w:r w:rsidRPr="008751CD">
        <w:rPr>
          <w:rFonts w:ascii="Arial" w:hAnsi="Arial" w:cs="Arial"/>
        </w:rPr>
        <w:t xml:space="preserve">, </w:t>
      </w:r>
      <w:r w:rsidRPr="008751CD">
        <w:rPr>
          <w:rFonts w:ascii="Arial" w:hAnsi="Arial" w:cs="Arial"/>
          <w:b/>
        </w:rPr>
        <w:t>uma verticalização contratual associada à regra de embandeiramento e, especialmente, aos diversos modelos de contratos com exclusividade celebrados</w:t>
      </w:r>
      <w:r w:rsidRPr="008751CD">
        <w:rPr>
          <w:rFonts w:ascii="Arial" w:hAnsi="Arial" w:cs="Arial"/>
        </w:rPr>
        <w:t xml:space="preserve">, especialmente, entre as três (ou quatro) distribuidoras nacionais que dominam a oferta de combustíveis líquidos no país; e que (2) estes contratos acarretam sérios problemas competitivos associados a (i) fechamento de mercado, (ii) discriminação de preços para compelir revendedores a coordenarem preços e (iii) coordenação efetiva para elevação de preços aos consumidores a níveis supracompetitivos. </w:t>
      </w:r>
    </w:p>
    <w:p w:rsidR="002C4AE9" w:rsidRDefault="002C4AE9" w:rsidP="00661A11">
      <w:pPr>
        <w:jc w:val="both"/>
        <w:rPr>
          <w:rFonts w:ascii="Arial" w:hAnsi="Arial" w:cs="Arial"/>
        </w:rPr>
      </w:pPr>
    </w:p>
    <w:p w:rsidR="00CE0036" w:rsidRPr="008751CD" w:rsidRDefault="00CE0036" w:rsidP="00A828BA">
      <w:pPr>
        <w:ind w:firstLine="708"/>
        <w:jc w:val="both"/>
        <w:rPr>
          <w:rFonts w:ascii="Arial" w:hAnsi="Arial" w:cs="Arial"/>
        </w:rPr>
      </w:pPr>
      <w:r w:rsidRPr="008751CD">
        <w:rPr>
          <w:rFonts w:ascii="Arial" w:hAnsi="Arial" w:cs="Arial"/>
        </w:rPr>
        <w:lastRenderedPageBreak/>
        <w:t xml:space="preserve">É ainda interessante reiterar o que foi dito pelo Conselheiro João Paulo Resende de que </w:t>
      </w:r>
      <w:r w:rsidR="007F09CD" w:rsidRPr="008751CD">
        <w:rPr>
          <w:rFonts w:ascii="Arial" w:hAnsi="Arial" w:cs="Arial"/>
        </w:rPr>
        <w:t xml:space="preserve">“a </w:t>
      </w:r>
      <w:r w:rsidR="007F09CD" w:rsidRPr="00A828BA">
        <w:rPr>
          <w:rFonts w:ascii="Arial" w:hAnsi="Arial" w:cs="Arial"/>
          <w:b/>
        </w:rPr>
        <w:t>cartelização na revenda é benéfica às distribuidoras</w:t>
      </w:r>
      <w:r w:rsidR="007F09CD" w:rsidRPr="008751CD">
        <w:rPr>
          <w:rFonts w:ascii="Arial" w:hAnsi="Arial" w:cs="Arial"/>
        </w:rPr>
        <w:t xml:space="preserve">”, exatamente porque as </w:t>
      </w:r>
      <w:r w:rsidR="007F09CD" w:rsidRPr="00A828BA">
        <w:rPr>
          <w:rFonts w:ascii="Arial" w:hAnsi="Arial" w:cs="Arial"/>
          <w:b/>
        </w:rPr>
        <w:t>margens e lucros das distribuidoras estão garantidos pelas cláusulas existentes nesses contratos de exclusividade</w:t>
      </w:r>
      <w:r w:rsidR="007F09CD" w:rsidRPr="008751CD">
        <w:rPr>
          <w:rFonts w:ascii="Arial" w:hAnsi="Arial" w:cs="Arial"/>
        </w:rPr>
        <w:t xml:space="preserve"> que definem “volumes mínimos” e deixam a cargo da distribuidora titular da bandeira a definição do “preço” praticado. Os “longuíssimos” prazos desses contratos e as “multas proibitivas” ali fixadas tornam os revendedores reféns dessas distribuidoras e das estratégias comerciais definidas por elas.  </w:t>
      </w:r>
    </w:p>
    <w:p w:rsidR="00CE0036" w:rsidRPr="008751CD" w:rsidRDefault="00CE0036" w:rsidP="00661A11">
      <w:pPr>
        <w:jc w:val="both"/>
        <w:rPr>
          <w:rFonts w:ascii="Arial" w:hAnsi="Arial" w:cs="Arial"/>
        </w:rPr>
      </w:pPr>
      <w:r w:rsidRPr="008751CD">
        <w:rPr>
          <w:rFonts w:ascii="Arial" w:hAnsi="Arial" w:cs="Arial"/>
        </w:rPr>
        <w:tab/>
      </w:r>
    </w:p>
    <w:p w:rsidR="00CE0036" w:rsidRPr="008751CD" w:rsidRDefault="00CE0036" w:rsidP="00CE0036">
      <w:pPr>
        <w:ind w:firstLine="708"/>
        <w:jc w:val="both"/>
        <w:rPr>
          <w:rFonts w:ascii="Arial" w:hAnsi="Arial" w:cs="Arial"/>
        </w:rPr>
      </w:pPr>
      <w:r w:rsidRPr="008751CD">
        <w:rPr>
          <w:rFonts w:ascii="Arial" w:hAnsi="Arial" w:cs="Arial"/>
        </w:rPr>
        <w:t xml:space="preserve">Por fim, </w:t>
      </w:r>
      <w:r w:rsidR="00917496" w:rsidRPr="008751CD">
        <w:rPr>
          <w:rFonts w:ascii="Arial" w:hAnsi="Arial" w:cs="Arial"/>
        </w:rPr>
        <w:t xml:space="preserve">é ainda interessante </w:t>
      </w:r>
      <w:r w:rsidR="008751CD" w:rsidRPr="008751CD">
        <w:rPr>
          <w:rFonts w:ascii="Arial" w:hAnsi="Arial" w:cs="Arial"/>
        </w:rPr>
        <w:t>citar o entendimento esposado pela Superintendência de Defesa da Concorrência, Estudos e Regulação Econômica desta i. ANP (“SRD”) em relação aos impactos dos contratos de exclusividade na concorrência e competitividade do setor, na Nota Técnica nº 087/2016/SDR</w:t>
      </w:r>
      <w:r w:rsidR="005068DB">
        <w:rPr>
          <w:rFonts w:ascii="Arial" w:hAnsi="Arial" w:cs="Arial"/>
        </w:rPr>
        <w:t xml:space="preserve"> (SEI 0295506)</w:t>
      </w:r>
      <w:r w:rsidR="005068DB">
        <w:rPr>
          <w:rStyle w:val="Refdenotaderodap"/>
          <w:rFonts w:ascii="Arial" w:hAnsi="Arial" w:cs="Arial"/>
        </w:rPr>
        <w:footnoteReference w:id="45"/>
      </w:r>
      <w:r w:rsidR="008751CD" w:rsidRPr="008751CD">
        <w:rPr>
          <w:rFonts w:ascii="Arial" w:hAnsi="Arial" w:cs="Arial"/>
        </w:rPr>
        <w:t xml:space="preserve"> apresentada nos autos do citado Ato de Concentração Alesat / Ipiranga, </w:t>
      </w:r>
      <w:r w:rsidR="008751CD" w:rsidRPr="008751CD">
        <w:rPr>
          <w:rFonts w:ascii="Arial" w:hAnsi="Arial" w:cs="Arial"/>
          <w:i/>
        </w:rPr>
        <w:t>in verbis</w:t>
      </w:r>
      <w:r w:rsidR="008751CD" w:rsidRPr="008751CD">
        <w:rPr>
          <w:rFonts w:ascii="Arial" w:hAnsi="Arial" w:cs="Arial"/>
        </w:rPr>
        <w:t>:</w:t>
      </w:r>
    </w:p>
    <w:p w:rsidR="008751CD" w:rsidRDefault="008751CD" w:rsidP="008751CD">
      <w:pPr>
        <w:jc w:val="both"/>
        <w:rPr>
          <w:rFonts w:ascii="Arial" w:hAnsi="Arial" w:cs="Arial"/>
          <w:sz w:val="20"/>
          <w:szCs w:val="20"/>
        </w:rPr>
      </w:pPr>
    </w:p>
    <w:p w:rsidR="008751CD" w:rsidRDefault="008751CD" w:rsidP="008751CD">
      <w:pPr>
        <w:ind w:left="1416"/>
        <w:jc w:val="both"/>
        <w:rPr>
          <w:rFonts w:ascii="Arial" w:hAnsi="Arial" w:cs="Arial"/>
          <w:i/>
          <w:sz w:val="20"/>
          <w:szCs w:val="20"/>
        </w:rPr>
      </w:pPr>
      <w:r>
        <w:rPr>
          <w:rFonts w:ascii="Arial" w:hAnsi="Arial" w:cs="Arial"/>
          <w:sz w:val="20"/>
          <w:szCs w:val="20"/>
        </w:rPr>
        <w:t>“</w:t>
      </w:r>
      <w:r w:rsidR="0050631F">
        <w:rPr>
          <w:rFonts w:ascii="Arial" w:hAnsi="Arial" w:cs="Arial"/>
          <w:i/>
          <w:sz w:val="20"/>
          <w:szCs w:val="20"/>
        </w:rPr>
        <w:t xml:space="preserve">Cabe enfatizar que, de acordo com o artigo 33 da Resolução ANP nº 58/2014 e o artigo 26 da Resolução ANP nº 41/2013, é proibida a atuação direta das distribuidoras no mercado de revenda, por meio da operação de postos de combustíveis. </w:t>
      </w:r>
    </w:p>
    <w:p w:rsidR="0050631F" w:rsidRDefault="0050631F" w:rsidP="008751CD">
      <w:pPr>
        <w:ind w:left="1416"/>
        <w:jc w:val="both"/>
        <w:rPr>
          <w:rFonts w:ascii="Arial" w:hAnsi="Arial" w:cs="Arial"/>
          <w:i/>
          <w:sz w:val="20"/>
          <w:szCs w:val="20"/>
        </w:rPr>
      </w:pPr>
    </w:p>
    <w:p w:rsidR="0046107E" w:rsidRDefault="0050631F" w:rsidP="008751CD">
      <w:pPr>
        <w:ind w:left="1416"/>
        <w:jc w:val="both"/>
        <w:rPr>
          <w:rFonts w:ascii="Arial" w:hAnsi="Arial" w:cs="Arial"/>
          <w:i/>
          <w:sz w:val="20"/>
          <w:szCs w:val="20"/>
        </w:rPr>
      </w:pPr>
      <w:r>
        <w:rPr>
          <w:rFonts w:ascii="Arial" w:hAnsi="Arial" w:cs="Arial"/>
          <w:i/>
          <w:sz w:val="20"/>
          <w:szCs w:val="20"/>
        </w:rPr>
        <w:t xml:space="preserve">Entretanto, é possível vislumbrar </w:t>
      </w:r>
      <w:r>
        <w:rPr>
          <w:rFonts w:ascii="Arial" w:hAnsi="Arial" w:cs="Arial"/>
          <w:b/>
          <w:i/>
          <w:sz w:val="20"/>
          <w:szCs w:val="20"/>
        </w:rPr>
        <w:t>integração vertical entre esses agentes</w:t>
      </w:r>
      <w:r w:rsidRPr="0050631F">
        <w:rPr>
          <w:rFonts w:ascii="Arial" w:hAnsi="Arial" w:cs="Arial"/>
          <w:i/>
          <w:sz w:val="20"/>
          <w:szCs w:val="20"/>
        </w:rPr>
        <w:t>, ainda que de m</w:t>
      </w:r>
      <w:r>
        <w:rPr>
          <w:rFonts w:ascii="Arial" w:hAnsi="Arial" w:cs="Arial"/>
          <w:i/>
          <w:sz w:val="20"/>
          <w:szCs w:val="20"/>
        </w:rPr>
        <w:t xml:space="preserve">aneira indireta, em razão </w:t>
      </w:r>
      <w:r>
        <w:rPr>
          <w:rFonts w:ascii="Arial" w:hAnsi="Arial" w:cs="Arial"/>
          <w:b/>
          <w:i/>
          <w:sz w:val="20"/>
          <w:szCs w:val="20"/>
        </w:rPr>
        <w:t>dos dispositivos contratuais por eles celebrados, bem como devido às distintas modalidades de compartilhamento da propriedade de ativos da revenda</w:t>
      </w:r>
      <w:r w:rsidRPr="00F3583C">
        <w:rPr>
          <w:rStyle w:val="Refdenotaderodap"/>
          <w:rFonts w:ascii="Arial" w:hAnsi="Arial" w:cs="Arial"/>
          <w:i/>
          <w:sz w:val="20"/>
          <w:szCs w:val="20"/>
        </w:rPr>
        <w:footnoteReference w:id="46"/>
      </w:r>
      <w:r w:rsidR="00F3583C" w:rsidRPr="00F3583C">
        <w:rPr>
          <w:rFonts w:ascii="Arial" w:hAnsi="Arial" w:cs="Arial"/>
          <w:i/>
          <w:sz w:val="20"/>
          <w:szCs w:val="20"/>
        </w:rPr>
        <w:t xml:space="preserve">. </w:t>
      </w:r>
      <w:r w:rsidR="00F3583C">
        <w:rPr>
          <w:rFonts w:ascii="Arial" w:hAnsi="Arial" w:cs="Arial"/>
          <w:i/>
          <w:sz w:val="20"/>
          <w:szCs w:val="20"/>
        </w:rPr>
        <w:t xml:space="preserve">Em tese, </w:t>
      </w:r>
      <w:r w:rsidR="00F3583C">
        <w:rPr>
          <w:rFonts w:ascii="Arial" w:hAnsi="Arial" w:cs="Arial"/>
          <w:b/>
          <w:i/>
          <w:sz w:val="20"/>
          <w:szCs w:val="20"/>
        </w:rPr>
        <w:lastRenderedPageBreak/>
        <w:t xml:space="preserve">contratos com restrições verticais </w:t>
      </w:r>
      <w:r w:rsidR="00F3583C" w:rsidRPr="00F3583C">
        <w:rPr>
          <w:rFonts w:ascii="Arial" w:hAnsi="Arial" w:cs="Arial"/>
          <w:b/>
          <w:i/>
          <w:sz w:val="20"/>
          <w:szCs w:val="20"/>
        </w:rPr>
        <w:t>menores possibilitam o acirramento da competição nos mercados de distribuição e revenda</w:t>
      </w:r>
      <w:r w:rsidR="00F3583C">
        <w:rPr>
          <w:rFonts w:ascii="Arial" w:hAnsi="Arial" w:cs="Arial"/>
          <w:i/>
          <w:sz w:val="20"/>
          <w:szCs w:val="20"/>
        </w:rPr>
        <w:t xml:space="preserve">. Isso decorre do fato de os </w:t>
      </w:r>
      <w:r w:rsidR="00F3583C" w:rsidRPr="00F3583C">
        <w:rPr>
          <w:rFonts w:ascii="Arial" w:hAnsi="Arial" w:cs="Arial"/>
          <w:b/>
          <w:i/>
          <w:sz w:val="20"/>
          <w:szCs w:val="20"/>
          <w:u w:val="single"/>
        </w:rPr>
        <w:t>revendedores poderem trocar de for</w:t>
      </w:r>
      <w:r w:rsidR="00F3583C">
        <w:rPr>
          <w:rFonts w:ascii="Arial" w:hAnsi="Arial" w:cs="Arial"/>
          <w:b/>
          <w:i/>
          <w:sz w:val="20"/>
          <w:szCs w:val="20"/>
          <w:u w:val="single"/>
        </w:rPr>
        <w:t>necedor (distribuidora) com maior facilidade</w:t>
      </w:r>
      <w:r w:rsidR="00F3583C">
        <w:rPr>
          <w:rFonts w:ascii="Arial" w:hAnsi="Arial" w:cs="Arial"/>
          <w:i/>
          <w:sz w:val="20"/>
          <w:szCs w:val="20"/>
        </w:rPr>
        <w:t xml:space="preserve">, de acordo com as condições comerciais oferecidas. Já os que apresentam </w:t>
      </w:r>
      <w:r w:rsidR="00F3583C">
        <w:rPr>
          <w:rFonts w:ascii="Arial" w:hAnsi="Arial" w:cs="Arial"/>
          <w:b/>
          <w:i/>
          <w:sz w:val="20"/>
          <w:szCs w:val="20"/>
        </w:rPr>
        <w:t xml:space="preserve">restrições verticais </w:t>
      </w:r>
      <w:r w:rsidR="00F3583C">
        <w:rPr>
          <w:rFonts w:ascii="Arial" w:hAnsi="Arial" w:cs="Arial"/>
          <w:b/>
          <w:i/>
          <w:sz w:val="20"/>
          <w:szCs w:val="20"/>
          <w:u w:val="single"/>
        </w:rPr>
        <w:t>maiores</w:t>
      </w:r>
      <w:r w:rsidR="00F3583C">
        <w:rPr>
          <w:rFonts w:ascii="Arial" w:hAnsi="Arial" w:cs="Arial"/>
          <w:b/>
          <w:i/>
          <w:sz w:val="20"/>
          <w:szCs w:val="20"/>
        </w:rPr>
        <w:t xml:space="preserve"> garantem o vínculo do revendedor a uma distribuidora, ficando o </w:t>
      </w:r>
      <w:r w:rsidR="00F3583C" w:rsidRPr="00F3583C">
        <w:rPr>
          <w:rFonts w:ascii="Arial" w:hAnsi="Arial" w:cs="Arial"/>
          <w:b/>
          <w:i/>
          <w:sz w:val="20"/>
          <w:szCs w:val="20"/>
          <w:u w:val="single"/>
        </w:rPr>
        <w:t xml:space="preserve">primeiro restrito às </w:t>
      </w:r>
      <w:r w:rsidR="00F3583C">
        <w:rPr>
          <w:rFonts w:ascii="Arial" w:hAnsi="Arial" w:cs="Arial"/>
          <w:b/>
          <w:i/>
          <w:sz w:val="20"/>
          <w:szCs w:val="20"/>
          <w:u w:val="single"/>
        </w:rPr>
        <w:t>políticas comerciais da segunda</w:t>
      </w:r>
      <w:r w:rsidR="00F3583C" w:rsidRPr="00F3583C">
        <w:rPr>
          <w:rFonts w:ascii="Arial" w:hAnsi="Arial" w:cs="Arial"/>
          <w:i/>
          <w:sz w:val="20"/>
          <w:szCs w:val="20"/>
        </w:rPr>
        <w:t>.</w:t>
      </w:r>
    </w:p>
    <w:p w:rsidR="0046107E" w:rsidRDefault="0046107E" w:rsidP="008751CD">
      <w:pPr>
        <w:ind w:left="1416"/>
        <w:jc w:val="both"/>
        <w:rPr>
          <w:rFonts w:ascii="Arial" w:hAnsi="Arial" w:cs="Arial"/>
          <w:i/>
          <w:sz w:val="20"/>
          <w:szCs w:val="20"/>
        </w:rPr>
      </w:pPr>
    </w:p>
    <w:p w:rsidR="0050631F" w:rsidRDefault="0046107E" w:rsidP="008751CD">
      <w:pPr>
        <w:ind w:left="1416"/>
        <w:jc w:val="both"/>
        <w:rPr>
          <w:rFonts w:ascii="Arial" w:hAnsi="Arial" w:cs="Arial"/>
          <w:i/>
          <w:sz w:val="20"/>
          <w:szCs w:val="20"/>
        </w:rPr>
      </w:pPr>
      <w:r w:rsidRPr="0046107E">
        <w:rPr>
          <w:rFonts w:ascii="Arial" w:hAnsi="Arial" w:cs="Arial"/>
          <w:i/>
          <w:sz w:val="20"/>
          <w:szCs w:val="20"/>
        </w:rPr>
        <w:t xml:space="preserve">Esse entendimento consta do voto do </w:t>
      </w:r>
      <w:r w:rsidRPr="0046107E">
        <w:rPr>
          <w:rFonts w:ascii="Arial" w:hAnsi="Arial" w:cs="Arial"/>
          <w:b/>
          <w:i/>
          <w:sz w:val="20"/>
          <w:szCs w:val="20"/>
        </w:rPr>
        <w:t>Conselheiro Vinicius Marques de Carvalho no AC n° 08012.02820/2007-93</w:t>
      </w:r>
      <w:r w:rsidRPr="0046107E">
        <w:rPr>
          <w:rFonts w:ascii="Arial" w:hAnsi="Arial" w:cs="Arial"/>
          <w:i/>
          <w:sz w:val="20"/>
          <w:szCs w:val="20"/>
        </w:rPr>
        <w:t xml:space="preserve">, em que se entendeu ser </w:t>
      </w:r>
      <w:r w:rsidRPr="0046107E">
        <w:rPr>
          <w:rFonts w:ascii="Arial" w:hAnsi="Arial" w:cs="Arial"/>
          <w:b/>
          <w:i/>
          <w:sz w:val="20"/>
          <w:szCs w:val="20"/>
        </w:rPr>
        <w:t>possível haver problemas verticais nos mercados das revendas municipais</w:t>
      </w:r>
      <w:r w:rsidRPr="0046107E">
        <w:rPr>
          <w:rFonts w:ascii="Arial" w:hAnsi="Arial" w:cs="Arial"/>
          <w:i/>
          <w:sz w:val="20"/>
          <w:szCs w:val="20"/>
        </w:rPr>
        <w:t>, em que pese a concorrência da distribuição estadual, conforme citado a seguir:</w:t>
      </w:r>
      <w:r w:rsidR="00F3583C" w:rsidRPr="00F3583C">
        <w:rPr>
          <w:rFonts w:ascii="Arial" w:hAnsi="Arial" w:cs="Arial"/>
          <w:i/>
          <w:sz w:val="20"/>
          <w:szCs w:val="20"/>
        </w:rPr>
        <w:t xml:space="preserve"> </w:t>
      </w:r>
    </w:p>
    <w:p w:rsidR="00F3583C" w:rsidRDefault="00F3583C" w:rsidP="008751CD">
      <w:pPr>
        <w:ind w:left="1416"/>
        <w:jc w:val="both"/>
        <w:rPr>
          <w:rFonts w:ascii="Arial" w:hAnsi="Arial" w:cs="Arial"/>
          <w:i/>
          <w:sz w:val="20"/>
          <w:szCs w:val="20"/>
        </w:rPr>
      </w:pPr>
      <w:r>
        <w:rPr>
          <w:rFonts w:ascii="Arial" w:hAnsi="Arial" w:cs="Arial"/>
          <w:i/>
          <w:sz w:val="20"/>
          <w:szCs w:val="20"/>
        </w:rPr>
        <w:t>...............................................................................................................................</w:t>
      </w:r>
    </w:p>
    <w:p w:rsidR="00F3583C" w:rsidRDefault="00F3583C" w:rsidP="008751CD">
      <w:pPr>
        <w:ind w:left="1416"/>
        <w:jc w:val="both"/>
        <w:rPr>
          <w:rFonts w:ascii="Arial" w:hAnsi="Arial" w:cs="Arial"/>
          <w:i/>
          <w:sz w:val="20"/>
          <w:szCs w:val="20"/>
        </w:rPr>
      </w:pPr>
    </w:p>
    <w:p w:rsidR="00F3583C" w:rsidRPr="00F3583C" w:rsidRDefault="00F3583C" w:rsidP="00F3583C">
      <w:pPr>
        <w:ind w:left="1416"/>
        <w:jc w:val="both"/>
        <w:rPr>
          <w:rFonts w:ascii="Arial" w:hAnsi="Arial" w:cs="Arial"/>
          <w:i/>
          <w:sz w:val="20"/>
          <w:szCs w:val="20"/>
        </w:rPr>
      </w:pPr>
      <w:r w:rsidRPr="00F3583C">
        <w:rPr>
          <w:rFonts w:ascii="Arial" w:hAnsi="Arial" w:cs="Arial"/>
          <w:i/>
          <w:sz w:val="20"/>
          <w:szCs w:val="20"/>
        </w:rPr>
        <w:t xml:space="preserve">Dessa forma, em que pese o percentual elevado do número de postos de bandeira branca no País e um quantitativo expressivo de distribuidores autorizados pela ANP, </w:t>
      </w:r>
      <w:r w:rsidRPr="00F3583C">
        <w:rPr>
          <w:rFonts w:ascii="Arial" w:hAnsi="Arial" w:cs="Arial"/>
          <w:b/>
          <w:i/>
          <w:sz w:val="20"/>
          <w:szCs w:val="20"/>
        </w:rPr>
        <w:t>não se verifica a ocorrência de pulverização das participações de mercado no segmento de distribuição de combustíveis líquidos</w:t>
      </w:r>
      <w:r w:rsidRPr="00F3583C">
        <w:rPr>
          <w:rFonts w:ascii="Arial" w:hAnsi="Arial" w:cs="Arial"/>
          <w:i/>
          <w:sz w:val="20"/>
          <w:szCs w:val="20"/>
        </w:rPr>
        <w:t xml:space="preserve">, o que exige cautela e avaliação dos dados disponibilizados para que se possa concluir acerca da efetividade da competição gerada a partir da quantidade de distribuidoras e postos de bandeira branca em operação. Há de se notar, também, que </w:t>
      </w:r>
      <w:r w:rsidRPr="00F3583C">
        <w:rPr>
          <w:rFonts w:ascii="Arial" w:hAnsi="Arial" w:cs="Arial"/>
          <w:b/>
          <w:i/>
          <w:sz w:val="20"/>
          <w:szCs w:val="20"/>
        </w:rPr>
        <w:t>as grandes distribuidoras têm participação não desprezível no atendimento dos postos bandeira branca</w:t>
      </w:r>
      <w:r w:rsidRPr="00F3583C">
        <w:rPr>
          <w:rFonts w:ascii="Arial" w:hAnsi="Arial" w:cs="Arial"/>
          <w:i/>
          <w:sz w:val="20"/>
          <w:szCs w:val="20"/>
        </w:rPr>
        <w:t xml:space="preserve"> —juntas, Ipiranga e Alesat forneceram 12,7% da gasolina O, 11,5% do óleo diesel B e cerca de 5% do etanol hidratado destinados a esse tipo de revenda, no primeiro semestre de 2016, conforme Boletim Abastecimento em Números n° 51.</w:t>
      </w:r>
    </w:p>
    <w:p w:rsidR="00F3583C" w:rsidRDefault="00F3583C" w:rsidP="00F3583C">
      <w:pPr>
        <w:ind w:left="1416"/>
        <w:jc w:val="both"/>
        <w:rPr>
          <w:rFonts w:ascii="Arial" w:hAnsi="Arial" w:cs="Arial"/>
          <w:i/>
          <w:sz w:val="20"/>
          <w:szCs w:val="20"/>
        </w:rPr>
      </w:pPr>
    </w:p>
    <w:p w:rsidR="00F3583C" w:rsidRDefault="00F3583C" w:rsidP="00F3583C">
      <w:pPr>
        <w:ind w:left="1416"/>
        <w:jc w:val="both"/>
        <w:rPr>
          <w:rFonts w:ascii="Arial" w:hAnsi="Arial" w:cs="Arial"/>
          <w:i/>
          <w:sz w:val="20"/>
          <w:szCs w:val="20"/>
        </w:rPr>
      </w:pPr>
      <w:r w:rsidRPr="00F3583C">
        <w:rPr>
          <w:rFonts w:ascii="Arial" w:hAnsi="Arial" w:cs="Arial"/>
          <w:i/>
          <w:sz w:val="20"/>
          <w:szCs w:val="20"/>
        </w:rPr>
        <w:t xml:space="preserve">Tal fato pode constituir evidência de que a </w:t>
      </w:r>
      <w:r w:rsidRPr="00F3583C">
        <w:rPr>
          <w:rFonts w:ascii="Arial" w:hAnsi="Arial" w:cs="Arial"/>
          <w:b/>
          <w:i/>
          <w:sz w:val="20"/>
          <w:szCs w:val="20"/>
        </w:rPr>
        <w:t>quantidade de distribuidores autorizados não se traduz em entrantes capazes de diluir o grau de concentração dos mercados em questão</w:t>
      </w:r>
      <w:r w:rsidRPr="00F3583C">
        <w:rPr>
          <w:rFonts w:ascii="Arial" w:hAnsi="Arial" w:cs="Arial"/>
          <w:i/>
          <w:sz w:val="20"/>
          <w:szCs w:val="20"/>
        </w:rPr>
        <w:t xml:space="preserve">, nem tampouco as participações de mercado das empresas incumbentes, o que denota ser possível a </w:t>
      </w:r>
      <w:r w:rsidRPr="00F3583C">
        <w:rPr>
          <w:rFonts w:ascii="Arial" w:hAnsi="Arial" w:cs="Arial"/>
          <w:b/>
          <w:i/>
          <w:sz w:val="20"/>
          <w:szCs w:val="20"/>
        </w:rPr>
        <w:t>ocorrência de barreiras à entrada em níveis suficientes para influenciar negativarnente a dinâmica concorrencial no segmento</w:t>
      </w:r>
      <w:r w:rsidRPr="00F3583C">
        <w:rPr>
          <w:rFonts w:ascii="Arial" w:hAnsi="Arial" w:cs="Arial"/>
          <w:i/>
          <w:sz w:val="20"/>
          <w:szCs w:val="20"/>
        </w:rPr>
        <w:t xml:space="preserve">. </w:t>
      </w:r>
    </w:p>
    <w:p w:rsidR="00F3583C" w:rsidRDefault="00F3583C" w:rsidP="00F3583C">
      <w:pPr>
        <w:ind w:left="1416"/>
        <w:jc w:val="both"/>
        <w:rPr>
          <w:rFonts w:ascii="Arial" w:hAnsi="Arial" w:cs="Arial"/>
          <w:i/>
          <w:sz w:val="20"/>
          <w:szCs w:val="20"/>
        </w:rPr>
      </w:pPr>
      <w:r>
        <w:rPr>
          <w:rFonts w:ascii="Arial" w:hAnsi="Arial" w:cs="Arial"/>
          <w:i/>
          <w:sz w:val="20"/>
          <w:szCs w:val="20"/>
        </w:rPr>
        <w:t>...............................................................................................................................</w:t>
      </w:r>
    </w:p>
    <w:p w:rsidR="00F3583C" w:rsidRDefault="00F3583C" w:rsidP="00F3583C">
      <w:pPr>
        <w:ind w:left="1416"/>
        <w:jc w:val="both"/>
        <w:rPr>
          <w:rFonts w:ascii="Arial" w:hAnsi="Arial" w:cs="Arial"/>
          <w:i/>
          <w:sz w:val="20"/>
          <w:szCs w:val="20"/>
        </w:rPr>
      </w:pPr>
    </w:p>
    <w:p w:rsidR="00F3583C" w:rsidRDefault="00F3583C" w:rsidP="00F3583C">
      <w:pPr>
        <w:ind w:left="1416"/>
        <w:jc w:val="both"/>
        <w:rPr>
          <w:rFonts w:ascii="Arial" w:hAnsi="Arial" w:cs="Arial"/>
          <w:i/>
          <w:sz w:val="20"/>
          <w:szCs w:val="20"/>
        </w:rPr>
      </w:pPr>
      <w:r w:rsidRPr="005068DB">
        <w:rPr>
          <w:rFonts w:ascii="Arial" w:hAnsi="Arial" w:cs="Arial"/>
          <w:b/>
          <w:i/>
          <w:sz w:val="20"/>
          <w:szCs w:val="20"/>
        </w:rPr>
        <w:t>A possibilidade de adquirir combustível de qualquer distribuidor não garante aos postos de bandeira branca maior competitividade no mercado de revenda</w:t>
      </w:r>
      <w:r w:rsidRPr="00F3583C">
        <w:rPr>
          <w:rFonts w:ascii="Arial" w:hAnsi="Arial" w:cs="Arial"/>
          <w:i/>
          <w:sz w:val="20"/>
          <w:szCs w:val="20"/>
        </w:rPr>
        <w:t xml:space="preserve">. </w:t>
      </w:r>
      <w:r w:rsidRPr="005068DB">
        <w:rPr>
          <w:rFonts w:ascii="Arial" w:hAnsi="Arial" w:cs="Arial"/>
          <w:b/>
          <w:i/>
          <w:sz w:val="20"/>
          <w:szCs w:val="20"/>
        </w:rPr>
        <w:t>Há outros aspectos concorrenciais inerentes ao segmento de distribuição que favorecem a atuação das distribuidoras de maior parte e, consequentemente, de sua rede bandeirada de postos</w:t>
      </w:r>
      <w:r w:rsidRPr="00F3583C">
        <w:rPr>
          <w:rFonts w:ascii="Arial" w:hAnsi="Arial" w:cs="Arial"/>
          <w:i/>
          <w:sz w:val="20"/>
          <w:szCs w:val="20"/>
        </w:rPr>
        <w:t xml:space="preserve">. Esses aspectos estão relacionados basicamente a fatores como: capacidade de armazenamento, localização das bases, volume comercializado e condições logísticas de distribuição. Isto porque os custos incorridos pelas empresas na atividade de distribuição dependem, fundamentalmente, da </w:t>
      </w:r>
      <w:r w:rsidRPr="005068DB">
        <w:rPr>
          <w:rFonts w:ascii="Arial" w:hAnsi="Arial" w:cs="Arial"/>
          <w:b/>
          <w:i/>
          <w:sz w:val="20"/>
          <w:szCs w:val="20"/>
        </w:rPr>
        <w:t>escala de comercialização, do modo de transporte utilizado e das distâncias existentes entre as bases e as localidades atendidas</w:t>
      </w:r>
      <w:r w:rsidRPr="00F3583C">
        <w:rPr>
          <w:rFonts w:ascii="Arial" w:hAnsi="Arial" w:cs="Arial"/>
          <w:i/>
          <w:sz w:val="20"/>
          <w:szCs w:val="20"/>
        </w:rPr>
        <w:t>.</w:t>
      </w:r>
    </w:p>
    <w:p w:rsidR="005068DB" w:rsidRDefault="005068DB" w:rsidP="005068DB">
      <w:pPr>
        <w:ind w:left="1416"/>
        <w:jc w:val="both"/>
        <w:rPr>
          <w:rFonts w:ascii="Arial" w:hAnsi="Arial" w:cs="Arial"/>
          <w:i/>
          <w:sz w:val="20"/>
          <w:szCs w:val="20"/>
        </w:rPr>
      </w:pPr>
      <w:r>
        <w:rPr>
          <w:rFonts w:ascii="Arial" w:hAnsi="Arial" w:cs="Arial"/>
          <w:i/>
          <w:sz w:val="20"/>
          <w:szCs w:val="20"/>
        </w:rPr>
        <w:t>...............................................................................................................................</w:t>
      </w:r>
    </w:p>
    <w:p w:rsidR="005068DB" w:rsidRDefault="005068DB" w:rsidP="005068DB">
      <w:pPr>
        <w:ind w:left="1416"/>
        <w:jc w:val="both"/>
        <w:rPr>
          <w:rFonts w:ascii="Arial" w:hAnsi="Arial" w:cs="Arial"/>
          <w:i/>
          <w:sz w:val="20"/>
          <w:szCs w:val="20"/>
        </w:rPr>
      </w:pPr>
    </w:p>
    <w:p w:rsidR="005068DB" w:rsidRDefault="005068DB" w:rsidP="005068DB">
      <w:pPr>
        <w:ind w:left="1416"/>
        <w:jc w:val="both"/>
        <w:rPr>
          <w:rFonts w:ascii="Arial" w:hAnsi="Arial" w:cs="Arial"/>
          <w:i/>
          <w:sz w:val="20"/>
          <w:szCs w:val="20"/>
        </w:rPr>
      </w:pPr>
      <w:r w:rsidRPr="005068DB">
        <w:rPr>
          <w:rFonts w:ascii="Arial" w:hAnsi="Arial" w:cs="Arial"/>
          <w:i/>
          <w:sz w:val="20"/>
          <w:szCs w:val="20"/>
        </w:rPr>
        <w:t xml:space="preserve">Outro fator a ser considerado é que, embora as </w:t>
      </w:r>
      <w:r w:rsidRPr="005068DB">
        <w:rPr>
          <w:rFonts w:ascii="Arial" w:hAnsi="Arial" w:cs="Arial"/>
          <w:b/>
          <w:i/>
          <w:sz w:val="20"/>
          <w:szCs w:val="20"/>
        </w:rPr>
        <w:t>barreiras à entrada no mercado de revenda</w:t>
      </w:r>
      <w:r w:rsidRPr="005068DB">
        <w:rPr>
          <w:rFonts w:ascii="Arial" w:hAnsi="Arial" w:cs="Arial"/>
          <w:i/>
          <w:sz w:val="20"/>
          <w:szCs w:val="20"/>
        </w:rPr>
        <w:t xml:space="preserve"> sejam geralmente consideradas baixas, elas </w:t>
      </w:r>
      <w:r w:rsidRPr="005068DB">
        <w:rPr>
          <w:rFonts w:ascii="Arial" w:hAnsi="Arial" w:cs="Arial"/>
          <w:b/>
          <w:i/>
          <w:sz w:val="20"/>
          <w:szCs w:val="20"/>
        </w:rPr>
        <w:t>podem variar de modo significativo a depender do mercado relevante a ser analisado</w:t>
      </w:r>
      <w:r w:rsidRPr="005068DB">
        <w:rPr>
          <w:rFonts w:ascii="Arial" w:hAnsi="Arial" w:cs="Arial"/>
          <w:i/>
          <w:sz w:val="20"/>
          <w:szCs w:val="20"/>
        </w:rPr>
        <w:t xml:space="preserve">. Em determinados mercados, seja em função da </w:t>
      </w:r>
      <w:r w:rsidRPr="005068DB">
        <w:rPr>
          <w:rFonts w:ascii="Arial" w:hAnsi="Arial" w:cs="Arial"/>
          <w:b/>
          <w:i/>
          <w:sz w:val="20"/>
          <w:szCs w:val="20"/>
        </w:rPr>
        <w:t>escassez de terrenos, da especulação imobiliária, da regulamentação urbana de uso do solo, dentre outros fatores, a entrada no mercado pode tornar-se custosa e, em última instância, improvável</w:t>
      </w:r>
      <w:r w:rsidRPr="005068DB">
        <w:rPr>
          <w:rFonts w:ascii="Arial" w:hAnsi="Arial" w:cs="Arial"/>
          <w:i/>
          <w:sz w:val="20"/>
          <w:szCs w:val="20"/>
        </w:rPr>
        <w:t>.</w:t>
      </w:r>
    </w:p>
    <w:p w:rsidR="005068DB" w:rsidRPr="005068DB" w:rsidRDefault="005068DB" w:rsidP="005068DB">
      <w:pPr>
        <w:ind w:left="1416"/>
        <w:jc w:val="both"/>
        <w:rPr>
          <w:rFonts w:ascii="Arial" w:hAnsi="Arial" w:cs="Arial"/>
          <w:i/>
          <w:sz w:val="20"/>
          <w:szCs w:val="20"/>
        </w:rPr>
      </w:pPr>
    </w:p>
    <w:p w:rsidR="005068DB" w:rsidRDefault="005068DB" w:rsidP="005068DB">
      <w:pPr>
        <w:ind w:left="1416"/>
        <w:jc w:val="both"/>
        <w:rPr>
          <w:rFonts w:ascii="Arial" w:hAnsi="Arial" w:cs="Arial"/>
          <w:i/>
          <w:sz w:val="20"/>
          <w:szCs w:val="20"/>
        </w:rPr>
      </w:pPr>
      <w:r w:rsidRPr="005068DB">
        <w:rPr>
          <w:rFonts w:ascii="Arial" w:hAnsi="Arial" w:cs="Arial"/>
          <w:i/>
          <w:sz w:val="20"/>
          <w:szCs w:val="20"/>
        </w:rPr>
        <w:t xml:space="preserve">Quanto ao argumento de que os </w:t>
      </w:r>
      <w:r w:rsidRPr="005068DB">
        <w:rPr>
          <w:rFonts w:ascii="Arial" w:hAnsi="Arial" w:cs="Arial"/>
          <w:b/>
          <w:i/>
          <w:sz w:val="20"/>
          <w:szCs w:val="20"/>
        </w:rPr>
        <w:t xml:space="preserve">postos bandeirados podem renovar ou não seus contratos com as distribuidoras, há de se ressaltar que </w:t>
      </w:r>
      <w:r w:rsidRPr="005068DB">
        <w:rPr>
          <w:rFonts w:ascii="Arial" w:hAnsi="Arial" w:cs="Arial"/>
          <w:b/>
          <w:i/>
          <w:sz w:val="20"/>
          <w:szCs w:val="20"/>
          <w:u w:val="single"/>
        </w:rPr>
        <w:t>não existe transparência</w:t>
      </w:r>
      <w:r w:rsidRPr="005068DB">
        <w:rPr>
          <w:rFonts w:ascii="Arial" w:hAnsi="Arial" w:cs="Arial"/>
          <w:b/>
          <w:i/>
          <w:sz w:val="20"/>
          <w:szCs w:val="20"/>
        </w:rPr>
        <w:t xml:space="preserve"> quanto ao término de cada contrato</w:t>
      </w:r>
      <w:r w:rsidRPr="005068DB">
        <w:rPr>
          <w:rFonts w:ascii="Arial" w:hAnsi="Arial" w:cs="Arial"/>
          <w:i/>
          <w:sz w:val="20"/>
          <w:szCs w:val="20"/>
        </w:rPr>
        <w:t xml:space="preserve">. Além disso, </w:t>
      </w:r>
      <w:r w:rsidRPr="005068DB">
        <w:rPr>
          <w:rFonts w:ascii="Arial" w:hAnsi="Arial" w:cs="Arial"/>
          <w:b/>
          <w:i/>
          <w:sz w:val="20"/>
          <w:szCs w:val="20"/>
        </w:rPr>
        <w:t xml:space="preserve">ao longo da vigência contratual, os </w:t>
      </w:r>
      <w:r w:rsidRPr="005068DB">
        <w:rPr>
          <w:rFonts w:ascii="Arial" w:hAnsi="Arial" w:cs="Arial"/>
          <w:b/>
          <w:i/>
          <w:sz w:val="20"/>
          <w:szCs w:val="20"/>
          <w:u w:val="single"/>
        </w:rPr>
        <w:t xml:space="preserve">postos só podem comercializar combustível da </w:t>
      </w:r>
      <w:r w:rsidRPr="005068DB">
        <w:rPr>
          <w:rFonts w:ascii="Arial" w:hAnsi="Arial" w:cs="Arial"/>
          <w:b/>
          <w:i/>
          <w:sz w:val="20"/>
          <w:szCs w:val="20"/>
          <w:u w:val="single"/>
        </w:rPr>
        <w:lastRenderedPageBreak/>
        <w:t>distribuidora</w:t>
      </w:r>
      <w:r w:rsidRPr="005068DB">
        <w:rPr>
          <w:rFonts w:ascii="Arial" w:hAnsi="Arial" w:cs="Arial"/>
          <w:b/>
          <w:i/>
          <w:sz w:val="20"/>
          <w:szCs w:val="20"/>
        </w:rPr>
        <w:t xml:space="preserve"> com a qual mantém contrato</w:t>
      </w:r>
      <w:r w:rsidRPr="005068DB">
        <w:rPr>
          <w:rFonts w:ascii="Arial" w:hAnsi="Arial" w:cs="Arial"/>
          <w:i/>
          <w:sz w:val="20"/>
          <w:szCs w:val="20"/>
        </w:rPr>
        <w:t xml:space="preserve">. Esses, muitas vezes, </w:t>
      </w:r>
      <w:r w:rsidRPr="005068DB">
        <w:rPr>
          <w:rFonts w:ascii="Arial" w:hAnsi="Arial" w:cs="Arial"/>
          <w:b/>
          <w:i/>
          <w:sz w:val="20"/>
          <w:szCs w:val="20"/>
        </w:rPr>
        <w:t>t</w:t>
      </w:r>
      <w:r w:rsidR="00A45BE6">
        <w:rPr>
          <w:rFonts w:ascii="Arial" w:hAnsi="Arial" w:cs="Arial"/>
          <w:b/>
          <w:i/>
          <w:sz w:val="20"/>
          <w:szCs w:val="20"/>
        </w:rPr>
        <w:t>ê</w:t>
      </w:r>
      <w:r w:rsidRPr="005068DB">
        <w:rPr>
          <w:rFonts w:ascii="Arial" w:hAnsi="Arial" w:cs="Arial"/>
          <w:b/>
          <w:i/>
          <w:sz w:val="20"/>
          <w:szCs w:val="20"/>
        </w:rPr>
        <w:t>m duração de 5 e, até mesmo, 10 anos</w:t>
      </w:r>
      <w:r w:rsidRPr="005068DB">
        <w:rPr>
          <w:rFonts w:ascii="Arial" w:hAnsi="Arial" w:cs="Arial"/>
          <w:i/>
          <w:sz w:val="20"/>
          <w:szCs w:val="20"/>
        </w:rPr>
        <w:t>.</w:t>
      </w:r>
    </w:p>
    <w:p w:rsidR="005068DB" w:rsidRDefault="005068DB" w:rsidP="005068DB">
      <w:pPr>
        <w:ind w:left="1416"/>
        <w:jc w:val="both"/>
        <w:rPr>
          <w:rFonts w:ascii="Arial" w:hAnsi="Arial" w:cs="Arial"/>
          <w:i/>
          <w:sz w:val="20"/>
          <w:szCs w:val="20"/>
        </w:rPr>
      </w:pPr>
      <w:r>
        <w:rPr>
          <w:rFonts w:ascii="Arial" w:hAnsi="Arial" w:cs="Arial"/>
          <w:i/>
          <w:sz w:val="20"/>
          <w:szCs w:val="20"/>
        </w:rPr>
        <w:t>...............................................................................................................................</w:t>
      </w:r>
    </w:p>
    <w:p w:rsidR="005068DB" w:rsidRDefault="005068DB" w:rsidP="005068DB">
      <w:pPr>
        <w:ind w:left="1416"/>
        <w:jc w:val="both"/>
        <w:rPr>
          <w:rFonts w:ascii="Arial" w:hAnsi="Arial" w:cs="Arial"/>
          <w:i/>
          <w:sz w:val="20"/>
          <w:szCs w:val="20"/>
        </w:rPr>
      </w:pPr>
    </w:p>
    <w:p w:rsidR="005068DB" w:rsidRDefault="005068DB" w:rsidP="005068DB">
      <w:pPr>
        <w:ind w:left="1416"/>
        <w:jc w:val="both"/>
        <w:rPr>
          <w:rFonts w:ascii="Arial" w:hAnsi="Arial" w:cs="Arial"/>
          <w:i/>
          <w:sz w:val="20"/>
          <w:szCs w:val="20"/>
        </w:rPr>
      </w:pPr>
      <w:r w:rsidRPr="005068DB">
        <w:rPr>
          <w:rFonts w:ascii="Arial" w:hAnsi="Arial" w:cs="Arial"/>
          <w:i/>
          <w:sz w:val="20"/>
          <w:szCs w:val="20"/>
        </w:rPr>
        <w:t xml:space="preserve">As </w:t>
      </w:r>
      <w:r w:rsidRPr="005068DB">
        <w:rPr>
          <w:rFonts w:ascii="Arial" w:hAnsi="Arial" w:cs="Arial"/>
          <w:b/>
          <w:i/>
          <w:sz w:val="20"/>
          <w:szCs w:val="20"/>
        </w:rPr>
        <w:t>distribuidoras não concorrem por todos os postos</w:t>
      </w:r>
      <w:r w:rsidRPr="005068DB">
        <w:rPr>
          <w:rFonts w:ascii="Arial" w:hAnsi="Arial" w:cs="Arial"/>
          <w:i/>
          <w:sz w:val="20"/>
          <w:szCs w:val="20"/>
        </w:rPr>
        <w:t xml:space="preserve">, pois há custos para a distribuidora relacionados ao embandeiramento e em razão disso </w:t>
      </w:r>
      <w:r w:rsidRPr="005068DB">
        <w:rPr>
          <w:rFonts w:ascii="Arial" w:hAnsi="Arial" w:cs="Arial"/>
          <w:b/>
          <w:i/>
          <w:sz w:val="20"/>
          <w:szCs w:val="20"/>
        </w:rPr>
        <w:t>há um perfil de postos que lhes são interessantes enquanto outros não o são</w:t>
      </w:r>
      <w:r w:rsidRPr="005068DB">
        <w:rPr>
          <w:rFonts w:ascii="Arial" w:hAnsi="Arial" w:cs="Arial"/>
          <w:i/>
          <w:sz w:val="20"/>
          <w:szCs w:val="20"/>
        </w:rPr>
        <w:t xml:space="preserve">. Em especial, </w:t>
      </w:r>
      <w:r w:rsidRPr="005068DB">
        <w:rPr>
          <w:rFonts w:ascii="Arial" w:hAnsi="Arial" w:cs="Arial"/>
          <w:b/>
          <w:i/>
          <w:sz w:val="20"/>
          <w:szCs w:val="20"/>
        </w:rPr>
        <w:t>o volume de vendas do posto é um fator observado pelas distribuidoras para embandeirar e manter embandeirado determinado post</w:t>
      </w:r>
      <w:r>
        <w:rPr>
          <w:rFonts w:ascii="Arial" w:hAnsi="Arial" w:cs="Arial"/>
          <w:b/>
          <w:i/>
          <w:sz w:val="20"/>
          <w:szCs w:val="20"/>
        </w:rPr>
        <w:t>o</w:t>
      </w:r>
      <w:r>
        <w:rPr>
          <w:rFonts w:ascii="Arial" w:hAnsi="Arial" w:cs="Arial"/>
          <w:i/>
          <w:sz w:val="20"/>
          <w:szCs w:val="20"/>
        </w:rPr>
        <w:t>.</w:t>
      </w:r>
      <w:r w:rsidRPr="005068DB">
        <w:rPr>
          <w:rFonts w:ascii="Arial" w:hAnsi="Arial" w:cs="Arial"/>
          <w:i/>
          <w:sz w:val="20"/>
          <w:szCs w:val="20"/>
        </w:rPr>
        <w:t xml:space="preserve"> Além disso, </w:t>
      </w:r>
      <w:r w:rsidRPr="005068DB">
        <w:rPr>
          <w:rFonts w:ascii="Arial" w:hAnsi="Arial" w:cs="Arial"/>
          <w:b/>
          <w:i/>
          <w:sz w:val="20"/>
          <w:szCs w:val="20"/>
        </w:rPr>
        <w:t>a possibilidade de postos concorrentes ampliarem sua oferta mediante elevação do giro depende da existência de oferta por parte dos distribuidores</w:t>
      </w:r>
      <w:r w:rsidRPr="005068DB">
        <w:rPr>
          <w:rFonts w:ascii="Arial" w:hAnsi="Arial" w:cs="Arial"/>
          <w:i/>
          <w:sz w:val="20"/>
          <w:szCs w:val="20"/>
        </w:rPr>
        <w:t>. A rivalidade com postos de cidades limítrofes, por sua vez, nem sempre é verdade, pois depende das distâncias entre as zonas urbanas de cada município e de dinâmicas locais muito específicas ligadas a ocorrência de c</w:t>
      </w:r>
      <w:r>
        <w:rPr>
          <w:rFonts w:ascii="Arial" w:hAnsi="Arial" w:cs="Arial"/>
          <w:i/>
          <w:sz w:val="20"/>
          <w:szCs w:val="20"/>
        </w:rPr>
        <w:t>i</w:t>
      </w:r>
      <w:r w:rsidRPr="005068DB">
        <w:rPr>
          <w:rFonts w:ascii="Arial" w:hAnsi="Arial" w:cs="Arial"/>
          <w:i/>
          <w:sz w:val="20"/>
          <w:szCs w:val="20"/>
        </w:rPr>
        <w:t>dades</w:t>
      </w:r>
      <w:r>
        <w:rPr>
          <w:rFonts w:ascii="Arial" w:hAnsi="Arial" w:cs="Arial"/>
          <w:i/>
          <w:sz w:val="20"/>
          <w:szCs w:val="20"/>
        </w:rPr>
        <w:t xml:space="preserve"> </w:t>
      </w:r>
      <w:r w:rsidRPr="005068DB">
        <w:rPr>
          <w:rFonts w:ascii="Arial" w:hAnsi="Arial" w:cs="Arial"/>
          <w:i/>
          <w:sz w:val="20"/>
          <w:szCs w:val="20"/>
        </w:rPr>
        <w:t>dormit</w:t>
      </w:r>
      <w:r>
        <w:rPr>
          <w:rFonts w:ascii="Arial" w:hAnsi="Arial" w:cs="Arial"/>
          <w:i/>
          <w:sz w:val="20"/>
          <w:szCs w:val="20"/>
        </w:rPr>
        <w:t>óri</w:t>
      </w:r>
      <w:r w:rsidRPr="005068DB">
        <w:rPr>
          <w:rFonts w:ascii="Arial" w:hAnsi="Arial" w:cs="Arial"/>
          <w:i/>
          <w:sz w:val="20"/>
          <w:szCs w:val="20"/>
        </w:rPr>
        <w:t>o</w:t>
      </w:r>
      <w:r>
        <w:rPr>
          <w:rFonts w:ascii="Arial" w:hAnsi="Arial" w:cs="Arial"/>
          <w:i/>
          <w:sz w:val="20"/>
          <w:szCs w:val="20"/>
        </w:rPr>
        <w:t>,</w:t>
      </w:r>
      <w:r w:rsidRPr="005068DB">
        <w:rPr>
          <w:rFonts w:ascii="Arial" w:hAnsi="Arial" w:cs="Arial"/>
          <w:i/>
          <w:sz w:val="20"/>
          <w:szCs w:val="20"/>
        </w:rPr>
        <w:t xml:space="preserve"> conurbações e áreas metropolitanas Al</w:t>
      </w:r>
      <w:r>
        <w:rPr>
          <w:rFonts w:ascii="Arial" w:hAnsi="Arial" w:cs="Arial"/>
          <w:i/>
          <w:sz w:val="20"/>
          <w:szCs w:val="20"/>
        </w:rPr>
        <w:t>é</w:t>
      </w:r>
      <w:r w:rsidRPr="005068DB">
        <w:rPr>
          <w:rFonts w:ascii="Arial" w:hAnsi="Arial" w:cs="Arial"/>
          <w:i/>
          <w:sz w:val="20"/>
          <w:szCs w:val="20"/>
        </w:rPr>
        <w:t>m dos custos e do tempo para abertura de um posto, deve-se considerar o retorno sobre o investimento na abertura de postos, o que depende do tamanho dos mercados e de</w:t>
      </w:r>
      <w:r>
        <w:rPr>
          <w:rFonts w:ascii="Arial" w:hAnsi="Arial" w:cs="Arial"/>
          <w:i/>
          <w:sz w:val="20"/>
          <w:szCs w:val="20"/>
        </w:rPr>
        <w:t xml:space="preserve"> perspe</w:t>
      </w:r>
      <w:r w:rsidRPr="005068DB">
        <w:rPr>
          <w:rFonts w:ascii="Arial" w:hAnsi="Arial" w:cs="Arial"/>
          <w:i/>
          <w:sz w:val="20"/>
          <w:szCs w:val="20"/>
        </w:rPr>
        <w:t xml:space="preserve">ctivas de crescimento dos mesmos. Em mercados estáveis quanto a seu tamanho, a tendência é que não haja investimentos em </w:t>
      </w:r>
      <w:r>
        <w:rPr>
          <w:rFonts w:ascii="Arial" w:hAnsi="Arial" w:cs="Arial"/>
          <w:i/>
          <w:sz w:val="20"/>
          <w:szCs w:val="20"/>
        </w:rPr>
        <w:t>novos</w:t>
      </w:r>
      <w:r w:rsidRPr="005068DB">
        <w:rPr>
          <w:rFonts w:ascii="Arial" w:hAnsi="Arial" w:cs="Arial"/>
          <w:i/>
          <w:sz w:val="20"/>
          <w:szCs w:val="20"/>
        </w:rPr>
        <w:t xml:space="preserve"> postos.</w:t>
      </w:r>
    </w:p>
    <w:p w:rsidR="005068DB" w:rsidRDefault="005068DB" w:rsidP="00F3583C">
      <w:pPr>
        <w:ind w:left="1416"/>
        <w:jc w:val="both"/>
        <w:rPr>
          <w:rFonts w:ascii="Arial" w:hAnsi="Arial" w:cs="Arial"/>
          <w:i/>
          <w:sz w:val="20"/>
          <w:szCs w:val="20"/>
        </w:rPr>
      </w:pPr>
    </w:p>
    <w:p w:rsidR="00F3583C" w:rsidRDefault="00F3583C" w:rsidP="00F3583C">
      <w:pPr>
        <w:jc w:val="both"/>
        <w:rPr>
          <w:rFonts w:ascii="Arial" w:hAnsi="Arial" w:cs="Arial"/>
          <w:i/>
          <w:sz w:val="20"/>
          <w:szCs w:val="20"/>
        </w:rPr>
      </w:pPr>
    </w:p>
    <w:p w:rsidR="00A45BE6" w:rsidRDefault="0046107E" w:rsidP="0046107E">
      <w:pPr>
        <w:ind w:firstLine="708"/>
        <w:jc w:val="both"/>
        <w:rPr>
          <w:rFonts w:ascii="Arial" w:hAnsi="Arial" w:cs="Arial"/>
        </w:rPr>
      </w:pPr>
      <w:r>
        <w:rPr>
          <w:rFonts w:ascii="Arial" w:hAnsi="Arial" w:cs="Arial"/>
        </w:rPr>
        <w:t>Nota-se pelo relato acima que esta i. ANP, não apenas reafirma a proibição da verticalização bem como a baixa concorrência empreendida por postos bandeira branca e pelas distribuidoras de menor porte, como</w:t>
      </w:r>
      <w:r w:rsidR="00A45BE6">
        <w:rPr>
          <w:rFonts w:ascii="Arial" w:hAnsi="Arial" w:cs="Arial"/>
        </w:rPr>
        <w:t>,</w:t>
      </w:r>
      <w:r>
        <w:rPr>
          <w:rFonts w:ascii="Arial" w:hAnsi="Arial" w:cs="Arial"/>
        </w:rPr>
        <w:t xml:space="preserve"> ainda</w:t>
      </w:r>
      <w:r w:rsidR="00A45BE6">
        <w:rPr>
          <w:rFonts w:ascii="Arial" w:hAnsi="Arial" w:cs="Arial"/>
        </w:rPr>
        <w:t>,</w:t>
      </w:r>
      <w:r>
        <w:rPr>
          <w:rFonts w:ascii="Arial" w:hAnsi="Arial" w:cs="Arial"/>
        </w:rPr>
        <w:t xml:space="preserve"> destaca</w:t>
      </w:r>
      <w:r w:rsidR="00A45BE6">
        <w:rPr>
          <w:rFonts w:ascii="Arial" w:hAnsi="Arial" w:cs="Arial"/>
        </w:rPr>
        <w:t xml:space="preserve"> e</w:t>
      </w:r>
      <w:r>
        <w:rPr>
          <w:rFonts w:ascii="Arial" w:hAnsi="Arial" w:cs="Arial"/>
        </w:rPr>
        <w:t xml:space="preserve"> reitera o entendimento do E. CADE</w:t>
      </w:r>
      <w:r w:rsidR="00A45BE6">
        <w:rPr>
          <w:rFonts w:ascii="Arial" w:hAnsi="Arial" w:cs="Arial"/>
        </w:rPr>
        <w:t xml:space="preserve"> quanto a</w:t>
      </w:r>
      <w:r>
        <w:rPr>
          <w:rFonts w:ascii="Arial" w:hAnsi="Arial" w:cs="Arial"/>
        </w:rPr>
        <w:t>os problemas concorrenciais decorrentes dos contratos celebrados entre as distribuidoras “dominantes” e os revendedores bandeirados, a ponto de afirmar que “</w:t>
      </w:r>
      <w:r w:rsidRPr="0046107E">
        <w:rPr>
          <w:rFonts w:ascii="Arial" w:hAnsi="Arial" w:cs="Arial"/>
          <w:b/>
        </w:rPr>
        <w:t>não existe transparência</w:t>
      </w:r>
      <w:r>
        <w:rPr>
          <w:rFonts w:ascii="Arial" w:hAnsi="Arial" w:cs="Arial"/>
          <w:b/>
        </w:rPr>
        <w:t xml:space="preserve"> quanto ao término desses contratos</w:t>
      </w:r>
      <w:r>
        <w:rPr>
          <w:rFonts w:ascii="Arial" w:hAnsi="Arial" w:cs="Arial"/>
        </w:rPr>
        <w:t>” e, ainda, que tais contratos exigem que “</w:t>
      </w:r>
      <w:r w:rsidRPr="0046107E">
        <w:rPr>
          <w:rFonts w:ascii="Arial" w:hAnsi="Arial" w:cs="Arial"/>
          <w:b/>
          <w:i/>
          <w:u w:val="single"/>
        </w:rPr>
        <w:t>postos só podem comercializar combustível da distribuidora</w:t>
      </w:r>
      <w:r w:rsidRPr="0046107E">
        <w:rPr>
          <w:rFonts w:ascii="Arial" w:hAnsi="Arial" w:cs="Arial"/>
          <w:b/>
        </w:rPr>
        <w:t>”</w:t>
      </w:r>
      <w:r w:rsidR="006E5E7D" w:rsidRPr="006E5E7D">
        <w:rPr>
          <w:rFonts w:ascii="Arial" w:hAnsi="Arial" w:cs="Arial"/>
        </w:rPr>
        <w:t xml:space="preserve"> e</w:t>
      </w:r>
      <w:r w:rsidRPr="005068DB">
        <w:rPr>
          <w:rFonts w:ascii="Arial" w:hAnsi="Arial" w:cs="Arial"/>
          <w:b/>
          <w:i/>
          <w:sz w:val="20"/>
          <w:szCs w:val="20"/>
        </w:rPr>
        <w:t xml:space="preserve"> </w:t>
      </w:r>
      <w:r>
        <w:rPr>
          <w:rFonts w:ascii="Arial" w:hAnsi="Arial" w:cs="Arial"/>
        </w:rPr>
        <w:t xml:space="preserve">são de longo prazo, chegando a </w:t>
      </w:r>
      <w:r w:rsidR="006E5E7D">
        <w:rPr>
          <w:rFonts w:ascii="Arial" w:hAnsi="Arial" w:cs="Arial"/>
        </w:rPr>
        <w:t>“</w:t>
      </w:r>
      <w:r>
        <w:rPr>
          <w:rFonts w:ascii="Arial" w:hAnsi="Arial" w:cs="Arial"/>
        </w:rPr>
        <w:t>até 10 anos</w:t>
      </w:r>
      <w:r w:rsidR="006E5E7D">
        <w:rPr>
          <w:rFonts w:ascii="Arial" w:hAnsi="Arial" w:cs="Arial"/>
        </w:rPr>
        <w:t>”</w:t>
      </w:r>
      <w:r>
        <w:rPr>
          <w:rFonts w:ascii="Arial" w:hAnsi="Arial" w:cs="Arial"/>
        </w:rPr>
        <w:t xml:space="preserve">. </w:t>
      </w:r>
    </w:p>
    <w:p w:rsidR="00A45BE6" w:rsidRDefault="00A45BE6" w:rsidP="0046107E">
      <w:pPr>
        <w:ind w:firstLine="708"/>
        <w:jc w:val="both"/>
        <w:rPr>
          <w:rFonts w:ascii="Arial" w:hAnsi="Arial" w:cs="Arial"/>
        </w:rPr>
      </w:pPr>
    </w:p>
    <w:p w:rsidR="006E5E7D" w:rsidRDefault="0046107E" w:rsidP="0046107E">
      <w:pPr>
        <w:ind w:firstLine="708"/>
        <w:jc w:val="both"/>
        <w:rPr>
          <w:rFonts w:ascii="Arial" w:hAnsi="Arial" w:cs="Arial"/>
        </w:rPr>
      </w:pPr>
      <w:r>
        <w:rPr>
          <w:rFonts w:ascii="Arial" w:hAnsi="Arial" w:cs="Arial"/>
        </w:rPr>
        <w:t xml:space="preserve">Estes comentários claramente servem para destacar o potencial de fechamento de mercado desses contratos, assim como a relação </w:t>
      </w:r>
      <w:r w:rsidR="006E5E7D">
        <w:rPr>
          <w:rFonts w:ascii="Arial" w:hAnsi="Arial" w:cs="Arial"/>
        </w:rPr>
        <w:t>monopolística que geram entre distribuidora e revendedores vinculados, o que acarretam um grande desequilíbrio e prejuízos à concorrência e competitividade do setor.</w:t>
      </w:r>
    </w:p>
    <w:p w:rsidR="006E5E7D" w:rsidRDefault="006E5E7D" w:rsidP="0046107E">
      <w:pPr>
        <w:ind w:firstLine="708"/>
        <w:jc w:val="both"/>
        <w:rPr>
          <w:rFonts w:ascii="Arial" w:hAnsi="Arial" w:cs="Arial"/>
        </w:rPr>
      </w:pPr>
    </w:p>
    <w:p w:rsidR="006E5E7D" w:rsidRDefault="006E5E7D" w:rsidP="006E5E7D">
      <w:pPr>
        <w:ind w:firstLine="708"/>
        <w:jc w:val="both"/>
        <w:rPr>
          <w:rFonts w:ascii="Arial" w:hAnsi="Arial" w:cs="Arial"/>
        </w:rPr>
      </w:pPr>
      <w:r>
        <w:rPr>
          <w:rFonts w:ascii="Arial" w:hAnsi="Arial" w:cs="Arial"/>
        </w:rPr>
        <w:t xml:space="preserve">Desta forma, fica claro pelo exposto que </w:t>
      </w:r>
      <w:r w:rsidRPr="00A828BA">
        <w:rPr>
          <w:rFonts w:ascii="Arial" w:hAnsi="Arial" w:cs="Arial"/>
          <w:b/>
        </w:rPr>
        <w:t>a existência dos contratos de exclusividade gera desequilíbrios e prejuízos à livre iniciativa e à livre concorrência</w:t>
      </w:r>
      <w:r w:rsidR="0046107E">
        <w:rPr>
          <w:rFonts w:ascii="Arial" w:hAnsi="Arial" w:cs="Arial"/>
        </w:rPr>
        <w:t xml:space="preserve"> </w:t>
      </w:r>
      <w:r>
        <w:rPr>
          <w:rFonts w:ascii="Arial" w:hAnsi="Arial" w:cs="Arial"/>
        </w:rPr>
        <w:t xml:space="preserve">e, portanto, que esta i. ANP deveria, senão </w:t>
      </w:r>
      <w:r w:rsidRPr="00A828BA">
        <w:rPr>
          <w:rFonts w:ascii="Arial" w:hAnsi="Arial" w:cs="Arial"/>
          <w:b/>
        </w:rPr>
        <w:t>abolir por completo a regra do embandeiramento</w:t>
      </w:r>
      <w:r>
        <w:rPr>
          <w:rFonts w:ascii="Arial" w:hAnsi="Arial" w:cs="Arial"/>
        </w:rPr>
        <w:t xml:space="preserve"> – a qual é usada normalmente como justificativa para a adoção desses contratos pelas distribuidoras bandeiradas, em especial, as três “dominantes” –, </w:t>
      </w:r>
      <w:r w:rsidRPr="00A828BA">
        <w:rPr>
          <w:rFonts w:ascii="Arial" w:hAnsi="Arial" w:cs="Arial"/>
          <w:u w:val="single"/>
        </w:rPr>
        <w:t>pelo meno</w:t>
      </w:r>
      <w:r w:rsidR="00A45BE6" w:rsidRPr="00A828BA">
        <w:rPr>
          <w:rFonts w:ascii="Arial" w:hAnsi="Arial" w:cs="Arial"/>
          <w:u w:val="single"/>
        </w:rPr>
        <w:t>s</w:t>
      </w:r>
      <w:r>
        <w:rPr>
          <w:rFonts w:ascii="Arial" w:hAnsi="Arial" w:cs="Arial"/>
        </w:rPr>
        <w:t xml:space="preserve">, </w:t>
      </w:r>
      <w:r w:rsidRPr="00A828BA">
        <w:rPr>
          <w:rFonts w:ascii="Arial" w:hAnsi="Arial" w:cs="Arial"/>
          <w:b/>
        </w:rPr>
        <w:t>regular esses contratos</w:t>
      </w:r>
      <w:r>
        <w:rPr>
          <w:rFonts w:ascii="Arial" w:hAnsi="Arial" w:cs="Arial"/>
        </w:rPr>
        <w:t xml:space="preserve"> de forma que (i) </w:t>
      </w:r>
      <w:r w:rsidRPr="00A828BA">
        <w:rPr>
          <w:rFonts w:ascii="Arial" w:hAnsi="Arial" w:cs="Arial"/>
          <w:b/>
          <w:u w:val="single"/>
        </w:rPr>
        <w:t>seus prazos sejam menores</w:t>
      </w:r>
      <w:r>
        <w:rPr>
          <w:rFonts w:ascii="Arial" w:hAnsi="Arial" w:cs="Arial"/>
        </w:rPr>
        <w:t xml:space="preserve"> (</w:t>
      </w:r>
      <w:r>
        <w:rPr>
          <w:rFonts w:ascii="Arial" w:hAnsi="Arial" w:cs="Arial"/>
          <w:i/>
        </w:rPr>
        <w:t>e.g.</w:t>
      </w:r>
      <w:r>
        <w:rPr>
          <w:rFonts w:ascii="Arial" w:hAnsi="Arial" w:cs="Arial"/>
        </w:rPr>
        <w:t xml:space="preserve">, um ano), o que permitiria uma migração mais fácil e uma real competição entre as distribuidoras para garantir aos revendedores menores preços e melhor qualidade do combustível e serviços acessórios ofertados; (ii) </w:t>
      </w:r>
      <w:r w:rsidRPr="00A828BA">
        <w:rPr>
          <w:rFonts w:ascii="Arial" w:hAnsi="Arial" w:cs="Arial"/>
          <w:b/>
          <w:u w:val="single"/>
        </w:rPr>
        <w:t>garantam a livre iniciativa dos revendedores para definirem suas estratégias comerciais</w:t>
      </w:r>
      <w:r w:rsidR="00A45BE6">
        <w:rPr>
          <w:rFonts w:ascii="Arial" w:hAnsi="Arial" w:cs="Arial"/>
        </w:rPr>
        <w:t>, inclusive para buscarem alternativas de fornecimento se a distribuidora a qual esteja vinculada não lhe garantir condições competitivas satisfatórias</w:t>
      </w:r>
      <w:r>
        <w:rPr>
          <w:rFonts w:ascii="Arial" w:hAnsi="Arial" w:cs="Arial"/>
        </w:rPr>
        <w:t xml:space="preserve">; e, ainda, (iii) a </w:t>
      </w:r>
      <w:r w:rsidRPr="00A828BA">
        <w:rPr>
          <w:rFonts w:ascii="Arial" w:hAnsi="Arial" w:cs="Arial"/>
          <w:b/>
        </w:rPr>
        <w:t>concessão de preços e condições de pagamento compatíveis com aquelas praticadas no “mercado”</w:t>
      </w:r>
      <w:r>
        <w:rPr>
          <w:rFonts w:ascii="Arial" w:hAnsi="Arial" w:cs="Arial"/>
        </w:rPr>
        <w:t xml:space="preserve">, ou seja, </w:t>
      </w:r>
      <w:r w:rsidR="00A45BE6">
        <w:rPr>
          <w:rFonts w:ascii="Arial" w:hAnsi="Arial" w:cs="Arial"/>
        </w:rPr>
        <w:t xml:space="preserve">uma regulação </w:t>
      </w:r>
      <w:r>
        <w:rPr>
          <w:rFonts w:ascii="Arial" w:hAnsi="Arial" w:cs="Arial"/>
        </w:rPr>
        <w:t>que conf</w:t>
      </w:r>
      <w:r w:rsidR="00A45BE6">
        <w:rPr>
          <w:rFonts w:ascii="Arial" w:hAnsi="Arial" w:cs="Arial"/>
        </w:rPr>
        <w:t xml:space="preserve">ira, por um lado, plenas condições competitivas aos revendedores e, por outro, que não acarrete o fechamento de mercado a outros ofertantes de combustíveis que concorram ou possam vir a </w:t>
      </w:r>
      <w:r w:rsidR="00A45BE6">
        <w:rPr>
          <w:rFonts w:ascii="Arial" w:hAnsi="Arial" w:cs="Arial"/>
        </w:rPr>
        <w:lastRenderedPageBreak/>
        <w:t>concorrer com as distribuidoras “dominantes”, titulares da maciça maioria dos contratos de exclusividade atualmente vigentes no país</w:t>
      </w:r>
      <w:r>
        <w:rPr>
          <w:rFonts w:ascii="Arial" w:hAnsi="Arial" w:cs="Arial"/>
        </w:rPr>
        <w:t>.</w:t>
      </w:r>
    </w:p>
    <w:p w:rsidR="006E5E7D" w:rsidRDefault="006E5E7D" w:rsidP="006E5E7D">
      <w:pPr>
        <w:ind w:firstLine="708"/>
        <w:jc w:val="both"/>
        <w:rPr>
          <w:rFonts w:ascii="Arial" w:hAnsi="Arial" w:cs="Arial"/>
        </w:rPr>
      </w:pPr>
    </w:p>
    <w:p w:rsidR="006E5E7D" w:rsidRDefault="006E5E7D" w:rsidP="006E5E7D">
      <w:pPr>
        <w:ind w:firstLine="708"/>
        <w:jc w:val="both"/>
        <w:rPr>
          <w:rFonts w:ascii="Arial" w:hAnsi="Arial" w:cs="Arial"/>
        </w:rPr>
      </w:pPr>
      <w:r>
        <w:rPr>
          <w:rFonts w:ascii="Arial" w:hAnsi="Arial" w:cs="Arial"/>
        </w:rPr>
        <w:t xml:space="preserve">Por fim, é importante salientar que a garantia da livre iniciativa e da livre concorrência são pilares e objetivos da Lei do Petróleo e fundamentais para o incremento do bem-estar dos consumidores de combustíveis. Assim como a vedação à venda direta de combustíveis pelo produtor limita e prejudica a livre iniciativa e a livre concorrência – e, consequentemente, o bem-estar dos consumidores – o atual modelo de embandeiramento, definido pela regulação da ANP, e </w:t>
      </w:r>
      <w:r w:rsidR="00A45BE6">
        <w:rPr>
          <w:rFonts w:ascii="Arial" w:hAnsi="Arial" w:cs="Arial"/>
        </w:rPr>
        <w:t xml:space="preserve">especialmente os </w:t>
      </w:r>
      <w:r>
        <w:rPr>
          <w:rFonts w:ascii="Arial" w:hAnsi="Arial" w:cs="Arial"/>
        </w:rPr>
        <w:t xml:space="preserve">contratos de exclusividade decorrentes deste, também geram os mesmos efeitos deletérios. </w:t>
      </w:r>
    </w:p>
    <w:p w:rsidR="006E5E7D" w:rsidRDefault="006E5E7D" w:rsidP="006E5E7D">
      <w:pPr>
        <w:ind w:firstLine="708"/>
        <w:jc w:val="both"/>
        <w:rPr>
          <w:rFonts w:ascii="Arial" w:hAnsi="Arial" w:cs="Arial"/>
        </w:rPr>
      </w:pPr>
    </w:p>
    <w:p w:rsidR="00F3583C" w:rsidRPr="0046107E" w:rsidRDefault="00446255" w:rsidP="00446255">
      <w:pPr>
        <w:ind w:firstLine="708"/>
        <w:jc w:val="both"/>
        <w:rPr>
          <w:rFonts w:ascii="Arial" w:hAnsi="Arial" w:cs="Arial"/>
        </w:rPr>
      </w:pPr>
      <w:r>
        <w:rPr>
          <w:rFonts w:ascii="Arial" w:hAnsi="Arial" w:cs="Arial"/>
        </w:rPr>
        <w:t xml:space="preserve">A liberação da venda direta sem a vedação dos contratos de exclusividade – ou pelo menos </w:t>
      </w:r>
      <w:r w:rsidR="00077346">
        <w:rPr>
          <w:rFonts w:ascii="Arial" w:hAnsi="Arial" w:cs="Arial"/>
        </w:rPr>
        <w:t>sem um</w:t>
      </w:r>
      <w:r>
        <w:rPr>
          <w:rFonts w:ascii="Arial" w:hAnsi="Arial" w:cs="Arial"/>
        </w:rPr>
        <w:t>a regulamentação</w:t>
      </w:r>
      <w:r w:rsidR="00077346">
        <w:rPr>
          <w:rFonts w:ascii="Arial" w:hAnsi="Arial" w:cs="Arial"/>
        </w:rPr>
        <w:t xml:space="preserve"> que</w:t>
      </w:r>
      <w:r>
        <w:rPr>
          <w:rFonts w:ascii="Arial" w:hAnsi="Arial" w:cs="Arial"/>
        </w:rPr>
        <w:t xml:space="preserve"> </w:t>
      </w:r>
      <w:r w:rsidR="00077346">
        <w:rPr>
          <w:rFonts w:ascii="Arial" w:hAnsi="Arial" w:cs="Arial"/>
        </w:rPr>
        <w:t xml:space="preserve">garanta </w:t>
      </w:r>
      <w:r>
        <w:rPr>
          <w:rFonts w:ascii="Arial" w:hAnsi="Arial" w:cs="Arial"/>
        </w:rPr>
        <w:t xml:space="preserve">maior mobilidade e escolha dos revendedores quanto aos seus fornecedores – </w:t>
      </w:r>
      <w:r w:rsidR="00077346">
        <w:rPr>
          <w:rFonts w:ascii="Arial" w:hAnsi="Arial" w:cs="Arial"/>
        </w:rPr>
        <w:t xml:space="preserve">não solucionará </w:t>
      </w:r>
      <w:r>
        <w:rPr>
          <w:rFonts w:ascii="Arial" w:hAnsi="Arial" w:cs="Arial"/>
        </w:rPr>
        <w:t xml:space="preserve">os problemas </w:t>
      </w:r>
      <w:r w:rsidR="00077346">
        <w:rPr>
          <w:rFonts w:ascii="Arial" w:hAnsi="Arial" w:cs="Arial"/>
        </w:rPr>
        <w:t>destacados pelo Sindaçúcar na resposta à TPC 2, em relação aos incentivos ao incremento da oferta e demanda. Isso ocorre por que os contratos atualmente existentes acabam por fechar parcela considerável dos postos revendedores atualmente instalados no país. Conforme destacado pelo CADE, pelo menos metade dos municípios brasileiros encontram-se “fechados” a novos ofertantes de combustíveis, em razão dos contratos de exclusividade celebrados pelas distribuidoras “dominantes” com a totalidade dos postos revendedores ali instalados.</w:t>
      </w:r>
      <w:r w:rsidR="0046107E">
        <w:rPr>
          <w:rFonts w:ascii="Arial" w:hAnsi="Arial" w:cs="Arial"/>
        </w:rPr>
        <w:t xml:space="preserve"> </w:t>
      </w:r>
    </w:p>
    <w:p w:rsidR="00F3583C" w:rsidRDefault="00F3583C" w:rsidP="00F3583C">
      <w:pPr>
        <w:jc w:val="both"/>
        <w:rPr>
          <w:rFonts w:ascii="Arial" w:hAnsi="Arial" w:cs="Arial"/>
          <w:i/>
          <w:sz w:val="20"/>
          <w:szCs w:val="20"/>
        </w:rPr>
      </w:pPr>
    </w:p>
    <w:p w:rsidR="00F3583C" w:rsidRDefault="00F3583C" w:rsidP="008751CD">
      <w:pPr>
        <w:ind w:left="1416"/>
        <w:jc w:val="both"/>
        <w:rPr>
          <w:rFonts w:ascii="Arial" w:hAnsi="Arial" w:cs="Arial"/>
          <w:b/>
          <w:i/>
          <w:sz w:val="20"/>
          <w:szCs w:val="20"/>
        </w:rPr>
      </w:pPr>
    </w:p>
    <w:p w:rsidR="00A22497" w:rsidRPr="00307077" w:rsidRDefault="00A22497" w:rsidP="00A22497">
      <w:pPr>
        <w:ind w:left="1416"/>
        <w:jc w:val="both"/>
        <w:rPr>
          <w:rFonts w:ascii="Arial" w:hAnsi="Arial" w:cs="Arial"/>
          <w:b/>
          <w:i/>
        </w:rPr>
      </w:pPr>
      <w:r w:rsidRPr="00307077">
        <w:rPr>
          <w:rFonts w:ascii="Arial" w:hAnsi="Arial" w:cs="Arial"/>
          <w:b/>
          <w:i/>
        </w:rPr>
        <w:t>III.</w:t>
      </w:r>
      <w:r>
        <w:rPr>
          <w:rFonts w:ascii="Arial" w:hAnsi="Arial" w:cs="Arial"/>
          <w:b/>
          <w:i/>
        </w:rPr>
        <w:t>2</w:t>
      </w:r>
      <w:r w:rsidRPr="00307077">
        <w:rPr>
          <w:rFonts w:ascii="Arial" w:hAnsi="Arial" w:cs="Arial"/>
          <w:b/>
          <w:i/>
        </w:rPr>
        <w:t xml:space="preserve">. </w:t>
      </w:r>
      <w:r>
        <w:rPr>
          <w:rFonts w:ascii="Arial" w:hAnsi="Arial" w:cs="Arial"/>
          <w:b/>
          <w:i/>
          <w:u w:val="single"/>
        </w:rPr>
        <w:t xml:space="preserve">As Soluções Estrangeiras para o Problema dos </w:t>
      </w:r>
      <w:r w:rsidRPr="00307077">
        <w:rPr>
          <w:rFonts w:ascii="Arial" w:hAnsi="Arial" w:cs="Arial"/>
          <w:b/>
          <w:i/>
          <w:u w:val="single"/>
        </w:rPr>
        <w:t>Contratos de Exclusividade</w:t>
      </w:r>
      <w:r w:rsidRPr="00307077">
        <w:rPr>
          <w:rFonts w:ascii="Arial" w:hAnsi="Arial" w:cs="Arial"/>
          <w:b/>
          <w:i/>
        </w:rPr>
        <w:t>.</w:t>
      </w:r>
    </w:p>
    <w:p w:rsidR="00F3583C" w:rsidRPr="00446255" w:rsidRDefault="00F3583C" w:rsidP="00A22497">
      <w:pPr>
        <w:jc w:val="both"/>
        <w:rPr>
          <w:rFonts w:ascii="Arial" w:hAnsi="Arial" w:cs="Arial"/>
          <w:b/>
          <w:sz w:val="20"/>
          <w:szCs w:val="20"/>
        </w:rPr>
      </w:pPr>
    </w:p>
    <w:p w:rsidR="008D6A86" w:rsidRDefault="0005574E" w:rsidP="00CE0036">
      <w:pPr>
        <w:ind w:firstLine="708"/>
        <w:jc w:val="both"/>
        <w:rPr>
          <w:rFonts w:ascii="Arial" w:hAnsi="Arial" w:cs="Arial"/>
        </w:rPr>
      </w:pPr>
      <w:r w:rsidRPr="00822372">
        <w:rPr>
          <w:rFonts w:ascii="Arial" w:hAnsi="Arial" w:cs="Arial"/>
        </w:rPr>
        <w:t>Segundo</w:t>
      </w:r>
      <w:r w:rsidR="00822372">
        <w:rPr>
          <w:rFonts w:ascii="Arial" w:hAnsi="Arial" w:cs="Arial"/>
        </w:rPr>
        <w:t xml:space="preserve"> dados obtidos pela OCDE</w:t>
      </w:r>
      <w:r w:rsidR="00822372">
        <w:rPr>
          <w:rStyle w:val="Refdenotaderodap"/>
          <w:rFonts w:ascii="Arial" w:hAnsi="Arial" w:cs="Arial"/>
        </w:rPr>
        <w:footnoteReference w:id="47"/>
      </w:r>
      <w:r w:rsidR="008D6A86">
        <w:rPr>
          <w:rFonts w:ascii="Arial" w:hAnsi="Arial" w:cs="Arial"/>
        </w:rPr>
        <w:t xml:space="preserve"> junto a países membros, não há uma uniformidade quanto às políticas regulatórias praticadas em relação à proibição, permissão ou maior controle sobre </w:t>
      </w:r>
      <w:r w:rsidR="00A02D09">
        <w:rPr>
          <w:rFonts w:ascii="Arial" w:hAnsi="Arial" w:cs="Arial"/>
        </w:rPr>
        <w:t xml:space="preserve">a </w:t>
      </w:r>
      <w:r w:rsidR="008D6A86">
        <w:rPr>
          <w:rFonts w:ascii="Arial" w:hAnsi="Arial" w:cs="Arial"/>
        </w:rPr>
        <w:t xml:space="preserve">verticalização, </w:t>
      </w:r>
      <w:r w:rsidR="00A02D09">
        <w:rPr>
          <w:rFonts w:ascii="Arial" w:hAnsi="Arial" w:cs="Arial"/>
        </w:rPr>
        <w:t xml:space="preserve">o </w:t>
      </w:r>
      <w:r w:rsidR="008D6A86">
        <w:rPr>
          <w:rFonts w:ascii="Arial" w:hAnsi="Arial" w:cs="Arial"/>
        </w:rPr>
        <w:t xml:space="preserve">embandeiramento ou </w:t>
      </w:r>
      <w:r w:rsidR="00A02D09">
        <w:rPr>
          <w:rFonts w:ascii="Arial" w:hAnsi="Arial" w:cs="Arial"/>
        </w:rPr>
        <w:t xml:space="preserve">os </w:t>
      </w:r>
      <w:r w:rsidR="008D6A86">
        <w:rPr>
          <w:rFonts w:ascii="Arial" w:hAnsi="Arial" w:cs="Arial"/>
        </w:rPr>
        <w:t xml:space="preserve">contratos de exclusividade </w:t>
      </w:r>
      <w:r w:rsidR="00A02D09">
        <w:rPr>
          <w:rFonts w:ascii="Arial" w:hAnsi="Arial" w:cs="Arial"/>
        </w:rPr>
        <w:t xml:space="preserve">estabelecidos </w:t>
      </w:r>
      <w:r w:rsidR="008D6A86">
        <w:rPr>
          <w:rFonts w:ascii="Arial" w:hAnsi="Arial" w:cs="Arial"/>
        </w:rPr>
        <w:t>no setor de combustíveis.</w:t>
      </w:r>
    </w:p>
    <w:p w:rsidR="008D6A86" w:rsidRDefault="008D6A86" w:rsidP="00CE0036">
      <w:pPr>
        <w:ind w:firstLine="708"/>
        <w:jc w:val="both"/>
        <w:rPr>
          <w:rFonts w:ascii="Arial" w:hAnsi="Arial" w:cs="Arial"/>
        </w:rPr>
      </w:pPr>
    </w:p>
    <w:p w:rsidR="00434A26" w:rsidRDefault="008D6A86" w:rsidP="00CE0036">
      <w:pPr>
        <w:ind w:firstLine="708"/>
        <w:jc w:val="both"/>
        <w:rPr>
          <w:rFonts w:ascii="Arial" w:hAnsi="Arial" w:cs="Arial"/>
        </w:rPr>
      </w:pPr>
      <w:r>
        <w:rPr>
          <w:rFonts w:ascii="Arial" w:hAnsi="Arial" w:cs="Arial"/>
        </w:rPr>
        <w:t>Pode-se, contudo, mencionar que</w:t>
      </w:r>
      <w:r w:rsidR="00A02D09">
        <w:rPr>
          <w:rFonts w:ascii="Arial" w:hAnsi="Arial" w:cs="Arial"/>
        </w:rPr>
        <w:t>, segundo os estudos destacados pela OCDE,</w:t>
      </w:r>
      <w:r>
        <w:rPr>
          <w:rFonts w:ascii="Arial" w:hAnsi="Arial" w:cs="Arial"/>
        </w:rPr>
        <w:t xml:space="preserve"> as eficiências trazidas </w:t>
      </w:r>
      <w:r w:rsidR="00096220">
        <w:rPr>
          <w:rFonts w:ascii="Arial" w:hAnsi="Arial" w:cs="Arial"/>
        </w:rPr>
        <w:t xml:space="preserve">pela verticalização societária ou contratual </w:t>
      </w:r>
      <w:r w:rsidR="00583C98">
        <w:rPr>
          <w:rFonts w:ascii="Arial" w:hAnsi="Arial" w:cs="Arial"/>
        </w:rPr>
        <w:t>estariam, principalmente, associadas à eliminação da dupla marginalização</w:t>
      </w:r>
      <w:r w:rsidR="00DF6D18">
        <w:rPr>
          <w:rFonts w:ascii="Arial" w:hAnsi="Arial" w:cs="Arial"/>
        </w:rPr>
        <w:t>, redução de custos</w:t>
      </w:r>
      <w:r w:rsidR="00583C98">
        <w:rPr>
          <w:rFonts w:ascii="Arial" w:hAnsi="Arial" w:cs="Arial"/>
        </w:rPr>
        <w:t xml:space="preserve"> e eliminação de práticas oportunistas</w:t>
      </w:r>
      <w:r w:rsidR="002C6F2A">
        <w:rPr>
          <w:rStyle w:val="Refdenotaderodap"/>
          <w:rFonts w:ascii="Arial" w:hAnsi="Arial" w:cs="Arial"/>
        </w:rPr>
        <w:footnoteReference w:id="48"/>
      </w:r>
      <w:r w:rsidR="00583C98">
        <w:rPr>
          <w:rFonts w:ascii="Arial" w:hAnsi="Arial" w:cs="Arial"/>
        </w:rPr>
        <w:t xml:space="preserve">. Contudo, as </w:t>
      </w:r>
      <w:r>
        <w:rPr>
          <w:rFonts w:ascii="Arial" w:hAnsi="Arial" w:cs="Arial"/>
        </w:rPr>
        <w:t>preocupações</w:t>
      </w:r>
      <w:r w:rsidR="00583C98">
        <w:rPr>
          <w:rFonts w:ascii="Arial" w:hAnsi="Arial" w:cs="Arial"/>
        </w:rPr>
        <w:t xml:space="preserve"> concorrenciais associadas à verticalização, societária ou </w:t>
      </w:r>
      <w:r w:rsidR="00583C98">
        <w:rPr>
          <w:rFonts w:ascii="Arial" w:hAnsi="Arial" w:cs="Arial"/>
        </w:rPr>
        <w:lastRenderedPageBreak/>
        <w:t xml:space="preserve">contratual, </w:t>
      </w:r>
      <w:r w:rsidR="00A02D09">
        <w:rPr>
          <w:rFonts w:ascii="Arial" w:hAnsi="Arial" w:cs="Arial"/>
        </w:rPr>
        <w:t>que estariam associadas a</w:t>
      </w:r>
      <w:r w:rsidR="00583C98">
        <w:rPr>
          <w:rFonts w:ascii="Arial" w:hAnsi="Arial" w:cs="Arial"/>
        </w:rPr>
        <w:t xml:space="preserve"> “</w:t>
      </w:r>
      <w:r w:rsidR="00583C98" w:rsidRPr="00583C98">
        <w:rPr>
          <w:rFonts w:ascii="Arial" w:hAnsi="Arial" w:cs="Arial"/>
          <w:i/>
        </w:rPr>
        <w:t>price squeezes</w:t>
      </w:r>
      <w:r w:rsidR="00583C98">
        <w:rPr>
          <w:rFonts w:ascii="Arial" w:hAnsi="Arial" w:cs="Arial"/>
        </w:rPr>
        <w:t>”</w:t>
      </w:r>
      <w:r w:rsidR="00DF6D18">
        <w:rPr>
          <w:rFonts w:ascii="Arial" w:hAnsi="Arial" w:cs="Arial"/>
        </w:rPr>
        <w:t xml:space="preserve"> (subsídios cruzados)</w:t>
      </w:r>
      <w:r w:rsidR="00583C98">
        <w:rPr>
          <w:rFonts w:ascii="Arial" w:hAnsi="Arial" w:cs="Arial"/>
        </w:rPr>
        <w:t xml:space="preserve">, “preços predatórios”, elevação de barreiras à entrada e colusionárias, parecem ser a tônica na maioria das jurisdições analisadas pela OCDE, especialmente </w:t>
      </w:r>
      <w:r w:rsidR="00DF6D18">
        <w:rPr>
          <w:rFonts w:ascii="Arial" w:hAnsi="Arial" w:cs="Arial"/>
        </w:rPr>
        <w:t>em mercados concentrados a montante e/ou a jusante e/ou com contratos de longa duração</w:t>
      </w:r>
      <w:r w:rsidR="00DF6D18">
        <w:rPr>
          <w:rStyle w:val="Refdenotaderodap"/>
          <w:rFonts w:ascii="Arial" w:hAnsi="Arial" w:cs="Arial"/>
        </w:rPr>
        <w:footnoteReference w:id="49"/>
      </w:r>
      <w:r w:rsidR="00DF6D18">
        <w:rPr>
          <w:rFonts w:ascii="Arial" w:hAnsi="Arial" w:cs="Arial"/>
        </w:rPr>
        <w:t>,</w:t>
      </w:r>
      <w:r w:rsidR="00583C98">
        <w:rPr>
          <w:rFonts w:ascii="Arial" w:hAnsi="Arial" w:cs="Arial"/>
        </w:rPr>
        <w:t xml:space="preserve"> de forma a justificar certas restrições regulatórias existentes nos diferentes países</w:t>
      </w:r>
      <w:r w:rsidR="00A02D09">
        <w:rPr>
          <w:rFonts w:ascii="Arial" w:hAnsi="Arial" w:cs="Arial"/>
        </w:rPr>
        <w:t>,</w:t>
      </w:r>
      <w:r w:rsidR="00583C98">
        <w:rPr>
          <w:rFonts w:ascii="Arial" w:hAnsi="Arial" w:cs="Arial"/>
        </w:rPr>
        <w:t xml:space="preserve"> e tratadas sumariamente a seguir.</w:t>
      </w:r>
      <w:r w:rsidR="00DF6D18">
        <w:rPr>
          <w:rFonts w:ascii="Arial" w:hAnsi="Arial" w:cs="Arial"/>
        </w:rPr>
        <w:t xml:space="preserve"> </w:t>
      </w:r>
    </w:p>
    <w:p w:rsidR="00434A26" w:rsidRDefault="00434A26" w:rsidP="00CE0036">
      <w:pPr>
        <w:ind w:firstLine="708"/>
        <w:jc w:val="both"/>
        <w:rPr>
          <w:rFonts w:ascii="Arial" w:hAnsi="Arial" w:cs="Arial"/>
        </w:rPr>
      </w:pPr>
    </w:p>
    <w:p w:rsidR="00434A26" w:rsidRDefault="00DF6D18" w:rsidP="00CE0036">
      <w:pPr>
        <w:ind w:firstLine="708"/>
        <w:jc w:val="both"/>
        <w:rPr>
          <w:rFonts w:ascii="Arial" w:hAnsi="Arial" w:cs="Arial"/>
        </w:rPr>
      </w:pPr>
      <w:r>
        <w:rPr>
          <w:rFonts w:ascii="Arial" w:hAnsi="Arial" w:cs="Arial"/>
        </w:rPr>
        <w:t xml:space="preserve">É interessante </w:t>
      </w:r>
      <w:r w:rsidR="00434A26">
        <w:rPr>
          <w:rFonts w:ascii="Arial" w:hAnsi="Arial" w:cs="Arial"/>
        </w:rPr>
        <w:t>mencionar ainda que a OCDE não aponta a qualidade do combustível como uma variável relevante neste debate sobre maior ou menor integração vertical na cadeia. Isso nos permite concluir que esta questão da qualidade, muito utilizada por esta i. ANP e pelas distribuidoras “dominantes” para justificar a regra do embandeiramento, parece ser uma peculiaridade do Brasil e, portanto, poderia / deveria ser facilmente solucionada a partir de medidas fiscalizatórias e punitivas mais rígidas por parte dos agentes estatais responsáveis</w:t>
      </w:r>
      <w:r w:rsidR="00A02D09">
        <w:rPr>
          <w:rFonts w:ascii="Arial" w:hAnsi="Arial" w:cs="Arial"/>
        </w:rPr>
        <w:t xml:space="preserve"> por este controle e fiscalização.</w:t>
      </w:r>
    </w:p>
    <w:p w:rsidR="00434A26" w:rsidRDefault="00434A26" w:rsidP="00CE0036">
      <w:pPr>
        <w:ind w:firstLine="708"/>
        <w:jc w:val="both"/>
        <w:rPr>
          <w:rFonts w:ascii="Arial" w:hAnsi="Arial" w:cs="Arial"/>
        </w:rPr>
      </w:pPr>
    </w:p>
    <w:p w:rsidR="00434A26" w:rsidRDefault="00434A26" w:rsidP="00B71519">
      <w:pPr>
        <w:ind w:firstLine="708"/>
        <w:jc w:val="both"/>
        <w:rPr>
          <w:rFonts w:ascii="Arial" w:hAnsi="Arial" w:cs="Arial"/>
        </w:rPr>
      </w:pPr>
      <w:r>
        <w:rPr>
          <w:rFonts w:ascii="Arial" w:hAnsi="Arial" w:cs="Arial"/>
        </w:rPr>
        <w:t xml:space="preserve">Outro ponto interessante que merece destaque é que, </w:t>
      </w:r>
      <w:r w:rsidR="00B71519">
        <w:rPr>
          <w:rFonts w:ascii="Arial" w:hAnsi="Arial" w:cs="Arial"/>
        </w:rPr>
        <w:t>em alguns</w:t>
      </w:r>
      <w:r>
        <w:rPr>
          <w:rFonts w:ascii="Arial" w:hAnsi="Arial" w:cs="Arial"/>
        </w:rPr>
        <w:t xml:space="preserve"> países, a distribuição dos combustíveis é feita pelo próprio produtor (“</w:t>
      </w:r>
      <w:r>
        <w:rPr>
          <w:rFonts w:ascii="Arial" w:hAnsi="Arial" w:cs="Arial"/>
          <w:i/>
        </w:rPr>
        <w:t>refiners</w:t>
      </w:r>
      <w:r>
        <w:rPr>
          <w:rFonts w:ascii="Arial" w:hAnsi="Arial" w:cs="Arial"/>
        </w:rPr>
        <w:t xml:space="preserve">”), de forma que </w:t>
      </w:r>
      <w:r w:rsidR="00B71519">
        <w:rPr>
          <w:rFonts w:ascii="Arial" w:hAnsi="Arial" w:cs="Arial"/>
        </w:rPr>
        <w:t xml:space="preserve">a figura do distribuidor como </w:t>
      </w:r>
      <w:r>
        <w:rPr>
          <w:rFonts w:ascii="Arial" w:hAnsi="Arial" w:cs="Arial"/>
        </w:rPr>
        <w:t xml:space="preserve">elo intermediário da cadeia parece não ser </w:t>
      </w:r>
      <w:r w:rsidR="00B71519">
        <w:rPr>
          <w:rFonts w:ascii="Arial" w:hAnsi="Arial" w:cs="Arial"/>
        </w:rPr>
        <w:t>necessária</w:t>
      </w:r>
      <w:r w:rsidR="00E54DE8">
        <w:rPr>
          <w:rStyle w:val="Refdenotaderodap"/>
          <w:rFonts w:ascii="Arial" w:hAnsi="Arial" w:cs="Arial"/>
        </w:rPr>
        <w:footnoteReference w:id="50"/>
      </w:r>
      <w:r>
        <w:rPr>
          <w:rFonts w:ascii="Arial" w:hAnsi="Arial" w:cs="Arial"/>
        </w:rPr>
        <w:t xml:space="preserve">. Ou seja, </w:t>
      </w:r>
      <w:r w:rsidR="00A02D09">
        <w:rPr>
          <w:rFonts w:ascii="Arial" w:hAnsi="Arial" w:cs="Arial"/>
        </w:rPr>
        <w:t xml:space="preserve">em alguns países, </w:t>
      </w:r>
      <w:r>
        <w:rPr>
          <w:rFonts w:ascii="Arial" w:hAnsi="Arial" w:cs="Arial"/>
        </w:rPr>
        <w:t xml:space="preserve">o produtor acaba sendo responsável pelo escoamento </w:t>
      </w:r>
      <w:r w:rsidR="00A02D09">
        <w:rPr>
          <w:rFonts w:ascii="Arial" w:hAnsi="Arial" w:cs="Arial"/>
        </w:rPr>
        <w:t xml:space="preserve">direto </w:t>
      </w:r>
      <w:r>
        <w:rPr>
          <w:rFonts w:ascii="Arial" w:hAnsi="Arial" w:cs="Arial"/>
        </w:rPr>
        <w:t xml:space="preserve">de sua produção aos revendedores. Além disso, a especificidade da comercialização de dois combustíveis substitutos (etanol hidratado e gasolina) parece ser exclusiva do Brasil, ainda que em certos países o GNV </w:t>
      </w:r>
      <w:r w:rsidR="00B71519">
        <w:rPr>
          <w:rFonts w:ascii="Arial" w:hAnsi="Arial" w:cs="Arial"/>
        </w:rPr>
        <w:t xml:space="preserve">– e mais recentemente a eletricidade – </w:t>
      </w:r>
      <w:r>
        <w:rPr>
          <w:rFonts w:ascii="Arial" w:hAnsi="Arial" w:cs="Arial"/>
        </w:rPr>
        <w:t xml:space="preserve">possa </w:t>
      </w:r>
      <w:r w:rsidR="00B71519">
        <w:rPr>
          <w:rFonts w:ascii="Arial" w:hAnsi="Arial" w:cs="Arial"/>
        </w:rPr>
        <w:t xml:space="preserve">também </w:t>
      </w:r>
      <w:r>
        <w:rPr>
          <w:rFonts w:ascii="Arial" w:hAnsi="Arial" w:cs="Arial"/>
        </w:rPr>
        <w:t xml:space="preserve">ser visto como um </w:t>
      </w:r>
      <w:r w:rsidR="00B71519">
        <w:rPr>
          <w:rFonts w:ascii="Arial" w:hAnsi="Arial" w:cs="Arial"/>
        </w:rPr>
        <w:t xml:space="preserve">combustível perfeitamente substituto à gasolina. Nesse sentido, cabe citar o que é dito pela OCDE em relação à concorrência entre o etanol e a gasolina e o impacto pró-competitivo que o </w:t>
      </w:r>
      <w:r w:rsidR="00B71519" w:rsidRPr="00A828BA">
        <w:rPr>
          <w:rFonts w:ascii="Arial" w:hAnsi="Arial" w:cs="Arial"/>
          <w:b/>
        </w:rPr>
        <w:t>incremento da produção e oferta</w:t>
      </w:r>
      <w:r w:rsidR="00A02D09">
        <w:rPr>
          <w:rFonts w:ascii="Arial" w:hAnsi="Arial" w:cs="Arial"/>
          <w:b/>
        </w:rPr>
        <w:t xml:space="preserve"> direta</w:t>
      </w:r>
      <w:r w:rsidR="00B71519" w:rsidRPr="00A828BA">
        <w:rPr>
          <w:rFonts w:ascii="Arial" w:hAnsi="Arial" w:cs="Arial"/>
          <w:b/>
        </w:rPr>
        <w:t xml:space="preserve"> do etanol</w:t>
      </w:r>
      <w:r w:rsidR="00A02D09">
        <w:rPr>
          <w:rFonts w:ascii="Arial" w:hAnsi="Arial" w:cs="Arial"/>
          <w:b/>
        </w:rPr>
        <w:t xml:space="preserve"> pelo produtor aos revendedores</w:t>
      </w:r>
      <w:r w:rsidR="00B71519">
        <w:rPr>
          <w:rFonts w:ascii="Arial" w:hAnsi="Arial" w:cs="Arial"/>
        </w:rPr>
        <w:t xml:space="preserve"> poder</w:t>
      </w:r>
      <w:r w:rsidR="00A02D09">
        <w:rPr>
          <w:rFonts w:ascii="Arial" w:hAnsi="Arial" w:cs="Arial"/>
        </w:rPr>
        <w:t>ão</w:t>
      </w:r>
      <w:r w:rsidR="00B71519">
        <w:rPr>
          <w:rFonts w:ascii="Arial" w:hAnsi="Arial" w:cs="Arial"/>
        </w:rPr>
        <w:t xml:space="preserve"> trazer em </w:t>
      </w:r>
      <w:r w:rsidR="00B71519" w:rsidRPr="00A828BA">
        <w:rPr>
          <w:rFonts w:ascii="Arial" w:hAnsi="Arial" w:cs="Arial"/>
          <w:b/>
        </w:rPr>
        <w:t>relação ao poder de mercado</w:t>
      </w:r>
      <w:r w:rsidR="00B71519">
        <w:rPr>
          <w:rFonts w:ascii="Arial" w:hAnsi="Arial" w:cs="Arial"/>
        </w:rPr>
        <w:t xml:space="preserve"> da Petrobrás</w:t>
      </w:r>
      <w:r w:rsidR="00A02D09">
        <w:rPr>
          <w:rFonts w:ascii="Arial" w:hAnsi="Arial" w:cs="Arial"/>
        </w:rPr>
        <w:t>,</w:t>
      </w:r>
      <w:r w:rsidR="00B71519">
        <w:rPr>
          <w:rFonts w:ascii="Arial" w:hAnsi="Arial" w:cs="Arial"/>
        </w:rPr>
        <w:t xml:space="preserve"> no refino da gasolina,</w:t>
      </w:r>
      <w:r w:rsidR="00A02D09">
        <w:rPr>
          <w:rFonts w:ascii="Arial" w:hAnsi="Arial" w:cs="Arial"/>
        </w:rPr>
        <w:t xml:space="preserve"> e, complementamos, das próprias distribuidoras dominantes em relação à oferta de combustíveis aos revendedores,</w:t>
      </w:r>
      <w:r w:rsidR="00B71519">
        <w:rPr>
          <w:rFonts w:ascii="Arial" w:hAnsi="Arial" w:cs="Arial"/>
        </w:rPr>
        <w:t xml:space="preserve"> </w:t>
      </w:r>
      <w:r w:rsidR="00B71519">
        <w:rPr>
          <w:rFonts w:ascii="Arial" w:hAnsi="Arial" w:cs="Arial"/>
          <w:i/>
        </w:rPr>
        <w:t>in verbis</w:t>
      </w:r>
      <w:r w:rsidR="00B71519">
        <w:rPr>
          <w:rFonts w:ascii="Arial" w:hAnsi="Arial" w:cs="Arial"/>
        </w:rPr>
        <w:t>:</w:t>
      </w:r>
    </w:p>
    <w:p w:rsidR="00B71519" w:rsidRDefault="00B71519" w:rsidP="00B71519">
      <w:pPr>
        <w:jc w:val="both"/>
        <w:rPr>
          <w:rFonts w:ascii="Arial" w:hAnsi="Arial" w:cs="Arial"/>
        </w:rPr>
      </w:pPr>
    </w:p>
    <w:p w:rsidR="00B71519" w:rsidRPr="00A01A4E" w:rsidRDefault="00B71519" w:rsidP="00B71519">
      <w:pPr>
        <w:ind w:left="1416"/>
        <w:jc w:val="both"/>
        <w:rPr>
          <w:rFonts w:ascii="Arial" w:hAnsi="Arial" w:cs="Arial"/>
          <w:i/>
          <w:sz w:val="20"/>
          <w:szCs w:val="20"/>
        </w:rPr>
      </w:pPr>
      <w:r w:rsidRPr="00B71519">
        <w:rPr>
          <w:rFonts w:ascii="Arial" w:hAnsi="Arial" w:cs="Arial"/>
          <w:lang w:val="en-US"/>
        </w:rPr>
        <w:t>“</w:t>
      </w:r>
      <w:r w:rsidRPr="00B71519">
        <w:rPr>
          <w:rFonts w:ascii="Arial" w:hAnsi="Arial" w:cs="Arial"/>
          <w:i/>
          <w:sz w:val="20"/>
          <w:szCs w:val="20"/>
          <w:lang w:val="en-US"/>
        </w:rPr>
        <w:t xml:space="preserve">In Brazil, the competition agency observes a convergence between gasoline and ethanol retailing. This phenomenon is interesting from a competition viewpoint because the concentration level in ethanol production is much lower than in oil refining. </w:t>
      </w:r>
      <w:r w:rsidRPr="00B71519">
        <w:rPr>
          <w:rFonts w:ascii="Arial" w:hAnsi="Arial" w:cs="Arial"/>
          <w:b/>
          <w:i/>
          <w:sz w:val="20"/>
          <w:szCs w:val="20"/>
          <w:lang w:val="en-US"/>
        </w:rPr>
        <w:t>Competitive concerns about market power in oil refining</w:t>
      </w:r>
      <w:r w:rsidRPr="00B71519">
        <w:rPr>
          <w:rFonts w:ascii="Arial" w:hAnsi="Arial" w:cs="Arial"/>
          <w:i/>
          <w:sz w:val="20"/>
          <w:szCs w:val="20"/>
          <w:lang w:val="en-US"/>
        </w:rPr>
        <w:t xml:space="preserve"> seem likely to fade as </w:t>
      </w:r>
      <w:r w:rsidRPr="00B71519">
        <w:rPr>
          <w:rFonts w:ascii="Arial" w:hAnsi="Arial" w:cs="Arial"/>
          <w:b/>
          <w:i/>
          <w:sz w:val="20"/>
          <w:szCs w:val="20"/>
          <w:lang w:val="en-US"/>
        </w:rPr>
        <w:t>ethanol producers increase their share of the motor fuel market</w:t>
      </w:r>
      <w:r w:rsidRPr="00B71519">
        <w:rPr>
          <w:rFonts w:ascii="Arial" w:hAnsi="Arial" w:cs="Arial"/>
          <w:sz w:val="20"/>
          <w:szCs w:val="20"/>
          <w:lang w:val="en-US"/>
        </w:rPr>
        <w:t>”</w:t>
      </w:r>
      <w:r>
        <w:rPr>
          <w:rStyle w:val="Refdenotaderodap"/>
          <w:rFonts w:ascii="Arial" w:hAnsi="Arial" w:cs="Arial"/>
          <w:sz w:val="20"/>
          <w:szCs w:val="20"/>
          <w:lang w:val="en-US"/>
        </w:rPr>
        <w:footnoteReference w:id="51"/>
      </w:r>
      <w:r w:rsidRPr="00B71519">
        <w:rPr>
          <w:rFonts w:ascii="Arial" w:hAnsi="Arial" w:cs="Arial"/>
          <w:sz w:val="20"/>
          <w:szCs w:val="20"/>
          <w:lang w:val="en-US"/>
        </w:rPr>
        <w:t xml:space="preserve">. </w:t>
      </w:r>
      <w:r w:rsidRPr="00A01A4E">
        <w:rPr>
          <w:rFonts w:ascii="Arial" w:hAnsi="Arial" w:cs="Arial"/>
          <w:sz w:val="20"/>
          <w:szCs w:val="20"/>
        </w:rPr>
        <w:t>(Destacamos)</w:t>
      </w:r>
    </w:p>
    <w:p w:rsidR="00434A26" w:rsidRPr="00A01A4E" w:rsidRDefault="00434A26" w:rsidP="00CE0036">
      <w:pPr>
        <w:ind w:firstLine="708"/>
        <w:jc w:val="both"/>
        <w:rPr>
          <w:rFonts w:ascii="Arial" w:hAnsi="Arial" w:cs="Arial"/>
        </w:rPr>
      </w:pPr>
    </w:p>
    <w:p w:rsidR="00B71519" w:rsidRDefault="00B71519" w:rsidP="00CE0036">
      <w:pPr>
        <w:ind w:firstLine="708"/>
        <w:jc w:val="both"/>
        <w:rPr>
          <w:rFonts w:ascii="Arial" w:hAnsi="Arial" w:cs="Arial"/>
        </w:rPr>
      </w:pPr>
      <w:r>
        <w:rPr>
          <w:rFonts w:ascii="Arial" w:hAnsi="Arial" w:cs="Arial"/>
        </w:rPr>
        <w:t xml:space="preserve">É exatamente isso que o Sindaçúcar/PE defende com a liberação da venda direta, a qual somente será efetiva se o mercado de revenda não estiver </w:t>
      </w:r>
      <w:r>
        <w:rPr>
          <w:rFonts w:ascii="Arial" w:hAnsi="Arial" w:cs="Arial"/>
        </w:rPr>
        <w:lastRenderedPageBreak/>
        <w:t>fechado pelo modelo de embandeiramento e pelos contratos de exclusividade celebrados pelas distribuidoras “dominantes” com parcela substancial e os principais (aqueles que geram maior galonagem) postos revendedores</w:t>
      </w:r>
      <w:r w:rsidR="00AA01C1">
        <w:rPr>
          <w:rFonts w:ascii="Arial" w:hAnsi="Arial" w:cs="Arial"/>
        </w:rPr>
        <w:t xml:space="preserve"> instalados no país</w:t>
      </w:r>
      <w:r>
        <w:rPr>
          <w:rFonts w:ascii="Arial" w:hAnsi="Arial" w:cs="Arial"/>
        </w:rPr>
        <w:t xml:space="preserve">. </w:t>
      </w:r>
    </w:p>
    <w:p w:rsidR="00B71519" w:rsidRDefault="00B71519" w:rsidP="00CE0036">
      <w:pPr>
        <w:ind w:firstLine="708"/>
        <w:jc w:val="both"/>
        <w:rPr>
          <w:rFonts w:ascii="Arial" w:hAnsi="Arial" w:cs="Arial"/>
        </w:rPr>
      </w:pPr>
    </w:p>
    <w:p w:rsidR="00434A26" w:rsidRDefault="00434A26" w:rsidP="00CE0036">
      <w:pPr>
        <w:ind w:firstLine="708"/>
        <w:jc w:val="both"/>
        <w:rPr>
          <w:rFonts w:ascii="Arial" w:hAnsi="Arial" w:cs="Arial"/>
        </w:rPr>
      </w:pPr>
      <w:r>
        <w:rPr>
          <w:rFonts w:ascii="Arial" w:hAnsi="Arial" w:cs="Arial"/>
        </w:rPr>
        <w:t xml:space="preserve">Feitos esses breves esclarecimentos, passa-se a seguir a relatar algumas medidas adotadas por países </w:t>
      </w:r>
      <w:r w:rsidR="00AA01C1">
        <w:rPr>
          <w:rFonts w:ascii="Arial" w:hAnsi="Arial" w:cs="Arial"/>
        </w:rPr>
        <w:t>analisados pel</w:t>
      </w:r>
      <w:r>
        <w:rPr>
          <w:rFonts w:ascii="Arial" w:hAnsi="Arial" w:cs="Arial"/>
        </w:rPr>
        <w:t>a OCDE</w:t>
      </w:r>
      <w:r w:rsidR="00E54DE8">
        <w:rPr>
          <w:rFonts w:ascii="Arial" w:hAnsi="Arial" w:cs="Arial"/>
        </w:rPr>
        <w:t xml:space="preserve"> em relação à verticalização e os contratos de exclusividade</w:t>
      </w:r>
      <w:r>
        <w:rPr>
          <w:rFonts w:ascii="Arial" w:hAnsi="Arial" w:cs="Arial"/>
        </w:rPr>
        <w:t xml:space="preserve"> para garantir maior concorrência e competitividade aos setores </w:t>
      </w:r>
      <w:r w:rsidR="00AA01C1">
        <w:rPr>
          <w:rFonts w:ascii="Arial" w:hAnsi="Arial" w:cs="Arial"/>
        </w:rPr>
        <w:t xml:space="preserve">de </w:t>
      </w:r>
      <w:r>
        <w:rPr>
          <w:rFonts w:ascii="Arial" w:hAnsi="Arial" w:cs="Arial"/>
        </w:rPr>
        <w:t>distribuição e revenda de combustíveis.</w:t>
      </w:r>
    </w:p>
    <w:p w:rsidR="00434A26" w:rsidRDefault="00434A26" w:rsidP="00CE0036">
      <w:pPr>
        <w:ind w:firstLine="708"/>
        <w:jc w:val="both"/>
        <w:rPr>
          <w:rFonts w:ascii="Arial" w:hAnsi="Arial" w:cs="Arial"/>
        </w:rPr>
      </w:pPr>
    </w:p>
    <w:p w:rsidR="00434A26" w:rsidRDefault="009829FB" w:rsidP="00CE0036">
      <w:pPr>
        <w:ind w:firstLine="708"/>
        <w:jc w:val="both"/>
        <w:rPr>
          <w:rFonts w:ascii="Arial" w:hAnsi="Arial" w:cs="Arial"/>
        </w:rPr>
      </w:pPr>
      <w:r>
        <w:rPr>
          <w:rFonts w:ascii="Arial" w:hAnsi="Arial" w:cs="Arial"/>
        </w:rPr>
        <w:t>O primeiro caso a ser citado é aquele da Argentina. Conforme destaca o relatório da OCDE</w:t>
      </w:r>
      <w:r w:rsidR="00A22B8A">
        <w:rPr>
          <w:rFonts w:ascii="Arial" w:hAnsi="Arial" w:cs="Arial"/>
        </w:rPr>
        <w:t xml:space="preserve"> (2008, p. 29-30)</w:t>
      </w:r>
      <w:r>
        <w:rPr>
          <w:rFonts w:ascii="Arial" w:hAnsi="Arial" w:cs="Arial"/>
        </w:rPr>
        <w:t xml:space="preserve">, </w:t>
      </w:r>
      <w:r w:rsidR="00947113">
        <w:rPr>
          <w:rFonts w:ascii="Arial" w:hAnsi="Arial" w:cs="Arial"/>
        </w:rPr>
        <w:t xml:space="preserve">em 1991, o mercado de combustíveis foi desregulamentado, sendo retiradas quaisquer restrições associadas a preço, capacidade de refino, localização e número de postos revendedores. Como ocorre no </w:t>
      </w:r>
      <w:r w:rsidR="00DD17F7">
        <w:rPr>
          <w:rFonts w:ascii="Arial" w:hAnsi="Arial" w:cs="Arial"/>
        </w:rPr>
        <w:t>Brasil</w:t>
      </w:r>
      <w:r w:rsidR="00947113">
        <w:rPr>
          <w:rFonts w:ascii="Arial" w:hAnsi="Arial" w:cs="Arial"/>
        </w:rPr>
        <w:t xml:space="preserve">, o mercado argentino </w:t>
      </w:r>
      <w:r w:rsidR="00DD17F7">
        <w:rPr>
          <w:rFonts w:ascii="Arial" w:hAnsi="Arial" w:cs="Arial"/>
        </w:rPr>
        <w:t xml:space="preserve">àquela época encontrava-se </w:t>
      </w:r>
      <w:r w:rsidR="00947113">
        <w:rPr>
          <w:rFonts w:ascii="Arial" w:hAnsi="Arial" w:cs="Arial"/>
        </w:rPr>
        <w:t>altamente concentrado, com quatro empresas detendo mais de 85% d</w:t>
      </w:r>
      <w:r w:rsidR="00DD17F7">
        <w:rPr>
          <w:rFonts w:ascii="Arial" w:hAnsi="Arial" w:cs="Arial"/>
        </w:rPr>
        <w:t>a oferta de combustíveis, com preços de revenda elevados</w:t>
      </w:r>
      <w:r w:rsidR="00947113">
        <w:rPr>
          <w:rFonts w:ascii="Arial" w:hAnsi="Arial" w:cs="Arial"/>
        </w:rPr>
        <w:t xml:space="preserve">. </w:t>
      </w:r>
      <w:r w:rsidR="00DD17F7">
        <w:rPr>
          <w:rFonts w:ascii="Arial" w:hAnsi="Arial" w:cs="Arial"/>
        </w:rPr>
        <w:t xml:space="preserve">Com o objetivo de elevar a concorrência e a competitividade no país e reduzir os preços de revenda da gasolina, em 2000, o Governo argentino, por meio da Secretaria de Assuntos Econômicos e Defesa da Concorrência determinou: (a) </w:t>
      </w:r>
      <w:r w:rsidR="00DD17F7" w:rsidRPr="00A828BA">
        <w:rPr>
          <w:rFonts w:ascii="Arial" w:hAnsi="Arial" w:cs="Arial"/>
          <w:b/>
        </w:rPr>
        <w:t>a limitação do prazo dos contratos celebrados entre as companhias petrolíferas e seus revendedores, e (b) a limitação no número de postos, em termos percentuais, que a companhia petrolífera (“</w:t>
      </w:r>
      <w:r w:rsidR="00DD17F7" w:rsidRPr="00A828BA">
        <w:rPr>
          <w:rFonts w:ascii="Arial" w:hAnsi="Arial" w:cs="Arial"/>
          <w:b/>
          <w:i/>
        </w:rPr>
        <w:t>refiner</w:t>
      </w:r>
      <w:r w:rsidR="00DD17F7" w:rsidRPr="00A828BA">
        <w:rPr>
          <w:rFonts w:ascii="Arial" w:hAnsi="Arial" w:cs="Arial"/>
          <w:b/>
        </w:rPr>
        <w:t>”) poderia ser proprietária e operar</w:t>
      </w:r>
      <w:r w:rsidR="00DD17F7">
        <w:rPr>
          <w:rFonts w:ascii="Arial" w:hAnsi="Arial" w:cs="Arial"/>
        </w:rPr>
        <w:t xml:space="preserve">.  </w:t>
      </w:r>
    </w:p>
    <w:p w:rsidR="00A01A4E" w:rsidRDefault="00A01A4E" w:rsidP="00CE0036">
      <w:pPr>
        <w:ind w:firstLine="708"/>
        <w:jc w:val="both"/>
        <w:rPr>
          <w:rFonts w:ascii="Arial" w:hAnsi="Arial" w:cs="Arial"/>
        </w:rPr>
      </w:pPr>
    </w:p>
    <w:p w:rsidR="00A01A4E" w:rsidRDefault="00A01A4E" w:rsidP="00CE0036">
      <w:pPr>
        <w:ind w:firstLine="708"/>
        <w:jc w:val="both"/>
        <w:rPr>
          <w:rFonts w:ascii="Arial" w:hAnsi="Arial" w:cs="Arial"/>
        </w:rPr>
      </w:pPr>
      <w:r>
        <w:rPr>
          <w:rFonts w:ascii="Arial" w:hAnsi="Arial" w:cs="Arial"/>
        </w:rPr>
        <w:t>Na Australia, embora a integração</w:t>
      </w:r>
      <w:r w:rsidR="006E572B">
        <w:rPr>
          <w:rFonts w:ascii="Arial" w:hAnsi="Arial" w:cs="Arial"/>
        </w:rPr>
        <w:t xml:space="preserve"> vertical entre produtor / distribuidora e revendedor</w:t>
      </w:r>
      <w:r>
        <w:rPr>
          <w:rFonts w:ascii="Arial" w:hAnsi="Arial" w:cs="Arial"/>
        </w:rPr>
        <w:t xml:space="preserve"> seja liberada, a regulação define </w:t>
      </w:r>
      <w:r w:rsidRPr="00A828BA">
        <w:rPr>
          <w:rFonts w:ascii="Arial" w:hAnsi="Arial" w:cs="Arial"/>
          <w:b/>
        </w:rPr>
        <w:t>quotas para o número de postos revendedores que um produtor-distribuidor pode operar diretamente</w:t>
      </w:r>
      <w:r>
        <w:rPr>
          <w:rFonts w:ascii="Arial" w:hAnsi="Arial" w:cs="Arial"/>
        </w:rPr>
        <w:t xml:space="preserve">, assim como </w:t>
      </w:r>
      <w:r w:rsidRPr="00A828BA">
        <w:rPr>
          <w:rFonts w:ascii="Arial" w:hAnsi="Arial" w:cs="Arial"/>
          <w:b/>
        </w:rPr>
        <w:t>fixa termos e condições mínimas para os contratos de franquia</w:t>
      </w:r>
      <w:r>
        <w:rPr>
          <w:rFonts w:ascii="Arial" w:hAnsi="Arial" w:cs="Arial"/>
        </w:rPr>
        <w:t>. Segundo a OCDE</w:t>
      </w:r>
      <w:r w:rsidR="00A22B8A">
        <w:rPr>
          <w:rFonts w:ascii="Arial" w:hAnsi="Arial" w:cs="Arial"/>
        </w:rPr>
        <w:t xml:space="preserve"> (2008, p. 31-32)</w:t>
      </w:r>
      <w:r>
        <w:rPr>
          <w:rFonts w:ascii="Arial" w:hAnsi="Arial" w:cs="Arial"/>
        </w:rPr>
        <w:t>, essas medidas visaram equilibrar o poder de mercado entre produtor-distribuidor e revendedores, assim como facilitar e incentivar a entrada de “</w:t>
      </w:r>
      <w:r>
        <w:rPr>
          <w:rFonts w:ascii="Arial" w:hAnsi="Arial" w:cs="Arial"/>
          <w:i/>
        </w:rPr>
        <w:t>small business</w:t>
      </w:r>
      <w:r>
        <w:rPr>
          <w:rFonts w:ascii="Arial" w:hAnsi="Arial" w:cs="Arial"/>
        </w:rPr>
        <w:t>” no segmento de revenda.</w:t>
      </w:r>
    </w:p>
    <w:p w:rsidR="00A01A4E" w:rsidRDefault="00A01A4E" w:rsidP="00CE0036">
      <w:pPr>
        <w:ind w:firstLine="708"/>
        <w:jc w:val="both"/>
        <w:rPr>
          <w:rFonts w:ascii="Arial" w:hAnsi="Arial" w:cs="Arial"/>
        </w:rPr>
      </w:pPr>
    </w:p>
    <w:p w:rsidR="005A7608" w:rsidRDefault="00A01A4E" w:rsidP="00CE0036">
      <w:pPr>
        <w:ind w:firstLine="708"/>
        <w:jc w:val="both"/>
        <w:rPr>
          <w:rFonts w:ascii="Arial" w:hAnsi="Arial" w:cs="Arial"/>
        </w:rPr>
      </w:pPr>
      <w:r>
        <w:rPr>
          <w:rFonts w:ascii="Arial" w:hAnsi="Arial" w:cs="Arial"/>
        </w:rPr>
        <w:t xml:space="preserve">Também no Canadá não há restrições para a integração vertical. </w:t>
      </w:r>
      <w:r w:rsidR="00A22B8A">
        <w:rPr>
          <w:rFonts w:ascii="Arial" w:hAnsi="Arial" w:cs="Arial"/>
        </w:rPr>
        <w:t xml:space="preserve">No entanto, segundo a OCDE (2008, p. 32-33), estudos mostram, por exemplo, que, em 11 cidades analisadas, 65% a 97% do mercado encontra-se controlado por empresas verticalmente integradas e que os menores agentes não são capazes de rivalizar com os grandes em termos, por exemplo, de redução de preços. Foi ainda contestado que a </w:t>
      </w:r>
      <w:r w:rsidR="00A22B8A" w:rsidRPr="00A828BA">
        <w:rPr>
          <w:rFonts w:ascii="Arial" w:hAnsi="Arial" w:cs="Arial"/>
          <w:b/>
        </w:rPr>
        <w:t>concentração gerada pela liberação da integração vertical foi significativa</w:t>
      </w:r>
      <w:r w:rsidR="00A22B8A">
        <w:rPr>
          <w:rFonts w:ascii="Arial" w:hAnsi="Arial" w:cs="Arial"/>
        </w:rPr>
        <w:t xml:space="preserve">, de forma que o </w:t>
      </w:r>
      <w:r w:rsidR="00A22B8A" w:rsidRPr="00A22B8A">
        <w:rPr>
          <w:rFonts w:ascii="Arial" w:hAnsi="Arial" w:cs="Arial"/>
        </w:rPr>
        <w:t xml:space="preserve">número de postos no país passou de </w:t>
      </w:r>
      <w:r w:rsidR="00A22B8A" w:rsidRPr="00A828BA">
        <w:rPr>
          <w:rFonts w:ascii="Arial" w:hAnsi="Arial" w:cs="Arial"/>
          <w:b/>
        </w:rPr>
        <w:t>35,703</w:t>
      </w:r>
      <w:r w:rsidR="00A22B8A">
        <w:rPr>
          <w:rFonts w:ascii="Arial" w:hAnsi="Arial" w:cs="Arial"/>
        </w:rPr>
        <w:t>,</w:t>
      </w:r>
      <w:r w:rsidR="00A22B8A" w:rsidRPr="00A22B8A">
        <w:rPr>
          <w:rFonts w:ascii="Arial" w:hAnsi="Arial" w:cs="Arial"/>
        </w:rPr>
        <w:t xml:space="preserve"> em 1970</w:t>
      </w:r>
      <w:r w:rsidR="00A22B8A">
        <w:rPr>
          <w:rFonts w:ascii="Arial" w:hAnsi="Arial" w:cs="Arial"/>
        </w:rPr>
        <w:t>,</w:t>
      </w:r>
      <w:r w:rsidR="00A22B8A" w:rsidRPr="00A22B8A">
        <w:rPr>
          <w:rFonts w:ascii="Arial" w:hAnsi="Arial" w:cs="Arial"/>
        </w:rPr>
        <w:t xml:space="preserve"> para 23,952</w:t>
      </w:r>
      <w:r w:rsidR="00A22B8A">
        <w:rPr>
          <w:rFonts w:ascii="Arial" w:hAnsi="Arial" w:cs="Arial"/>
        </w:rPr>
        <w:t>,</w:t>
      </w:r>
      <w:r w:rsidR="00A22B8A" w:rsidRPr="00A22B8A">
        <w:rPr>
          <w:rFonts w:ascii="Arial" w:hAnsi="Arial" w:cs="Arial"/>
        </w:rPr>
        <w:t xml:space="preserve"> em 1980, 22,000 em 1989, e </w:t>
      </w:r>
      <w:r w:rsidR="00A22B8A" w:rsidRPr="00A828BA">
        <w:rPr>
          <w:rFonts w:ascii="Arial" w:hAnsi="Arial" w:cs="Arial"/>
          <w:b/>
        </w:rPr>
        <w:t>13,250</w:t>
      </w:r>
      <w:r w:rsidR="00A22B8A">
        <w:rPr>
          <w:rFonts w:ascii="Arial" w:hAnsi="Arial" w:cs="Arial"/>
        </w:rPr>
        <w:t>,</w:t>
      </w:r>
      <w:r w:rsidR="00A22B8A" w:rsidRPr="00A22B8A">
        <w:rPr>
          <w:rFonts w:ascii="Arial" w:hAnsi="Arial" w:cs="Arial"/>
        </w:rPr>
        <w:t xml:space="preserve"> em 2000.</w:t>
      </w:r>
      <w:r w:rsidR="00A22B8A">
        <w:rPr>
          <w:rFonts w:ascii="Arial" w:hAnsi="Arial" w:cs="Arial"/>
        </w:rPr>
        <w:t xml:space="preserve"> Foi ainda apontado que, segundo </w:t>
      </w:r>
      <w:r w:rsidR="006E572B">
        <w:rPr>
          <w:rFonts w:ascii="Arial" w:hAnsi="Arial" w:cs="Arial"/>
        </w:rPr>
        <w:t xml:space="preserve">a </w:t>
      </w:r>
      <w:r w:rsidR="00A22B8A" w:rsidRPr="00A22B8A">
        <w:rPr>
          <w:rFonts w:ascii="Arial" w:hAnsi="Arial" w:cs="Arial"/>
        </w:rPr>
        <w:t>autoridade antitruste canadense</w:t>
      </w:r>
      <w:r w:rsidR="006E572B">
        <w:rPr>
          <w:rFonts w:ascii="Arial" w:hAnsi="Arial" w:cs="Arial"/>
        </w:rPr>
        <w:t>,</w:t>
      </w:r>
      <w:r w:rsidR="00A22B8A" w:rsidRPr="00A22B8A">
        <w:rPr>
          <w:rFonts w:ascii="Arial" w:hAnsi="Arial" w:cs="Arial"/>
        </w:rPr>
        <w:t xml:space="preserve"> </w:t>
      </w:r>
      <w:r w:rsidR="00A22B8A">
        <w:rPr>
          <w:rFonts w:ascii="Arial" w:hAnsi="Arial" w:cs="Arial"/>
        </w:rPr>
        <w:t>houve um</w:t>
      </w:r>
      <w:r w:rsidR="00A22B8A" w:rsidRPr="00A22B8A">
        <w:rPr>
          <w:rFonts w:ascii="Arial" w:hAnsi="Arial" w:cs="Arial"/>
        </w:rPr>
        <w:t xml:space="preserve"> </w:t>
      </w:r>
      <w:r w:rsidR="00A22B8A" w:rsidRPr="00A828BA">
        <w:rPr>
          <w:rFonts w:ascii="Arial" w:hAnsi="Arial" w:cs="Arial"/>
          <w:b/>
        </w:rPr>
        <w:t>aumento de colusões nesse período</w:t>
      </w:r>
      <w:r w:rsidR="00A22B8A" w:rsidRPr="00A22B8A">
        <w:rPr>
          <w:rFonts w:ascii="Arial" w:hAnsi="Arial" w:cs="Arial"/>
        </w:rPr>
        <w:t>, gerando</w:t>
      </w:r>
      <w:r w:rsidR="00A22B8A">
        <w:rPr>
          <w:rFonts w:ascii="Arial" w:hAnsi="Arial" w:cs="Arial"/>
        </w:rPr>
        <w:t xml:space="preserve"> o</w:t>
      </w:r>
      <w:r w:rsidR="00A22B8A" w:rsidRPr="00A22B8A">
        <w:rPr>
          <w:rFonts w:ascii="Arial" w:hAnsi="Arial" w:cs="Arial"/>
        </w:rPr>
        <w:t xml:space="preserve"> enrijecimento e </w:t>
      </w:r>
      <w:r w:rsidR="00A22B8A">
        <w:rPr>
          <w:rFonts w:ascii="Arial" w:hAnsi="Arial" w:cs="Arial"/>
        </w:rPr>
        <w:t xml:space="preserve">a </w:t>
      </w:r>
      <w:r w:rsidR="00A22B8A" w:rsidRPr="00A828BA">
        <w:rPr>
          <w:rFonts w:ascii="Arial" w:hAnsi="Arial" w:cs="Arial"/>
          <w:b/>
        </w:rPr>
        <w:t>uniformidade dos preços ofertados aos consumidores finais</w:t>
      </w:r>
      <w:r w:rsidR="005A7608">
        <w:rPr>
          <w:rFonts w:ascii="Arial" w:hAnsi="Arial" w:cs="Arial"/>
        </w:rPr>
        <w:t xml:space="preserve"> </w:t>
      </w:r>
      <w:r w:rsidR="005A7608" w:rsidRPr="00A22B8A">
        <w:rPr>
          <w:rFonts w:ascii="Arial" w:hAnsi="Arial" w:cs="Arial"/>
        </w:rPr>
        <w:t>(OCDE, 2008, p. 33)</w:t>
      </w:r>
      <w:r w:rsidR="00A22B8A">
        <w:rPr>
          <w:rFonts w:ascii="Arial" w:hAnsi="Arial" w:cs="Arial"/>
        </w:rPr>
        <w:t>.</w:t>
      </w:r>
    </w:p>
    <w:p w:rsidR="005A7608" w:rsidRDefault="005A7608" w:rsidP="00CE0036">
      <w:pPr>
        <w:ind w:firstLine="708"/>
        <w:jc w:val="both"/>
        <w:rPr>
          <w:rFonts w:ascii="Arial" w:hAnsi="Arial" w:cs="Arial"/>
        </w:rPr>
      </w:pPr>
    </w:p>
    <w:p w:rsidR="004F6002" w:rsidRDefault="005A7608" w:rsidP="005A7608">
      <w:pPr>
        <w:ind w:firstLine="708"/>
        <w:jc w:val="both"/>
        <w:rPr>
          <w:rFonts w:ascii="Arial" w:hAnsi="Arial" w:cs="Arial"/>
        </w:rPr>
      </w:pPr>
      <w:r w:rsidRPr="005A7608">
        <w:rPr>
          <w:rFonts w:ascii="Arial" w:hAnsi="Arial" w:cs="Arial"/>
        </w:rPr>
        <w:t xml:space="preserve">Na Espanha, </w:t>
      </w:r>
      <w:r>
        <w:rPr>
          <w:rFonts w:ascii="Arial" w:hAnsi="Arial" w:cs="Arial"/>
        </w:rPr>
        <w:t xml:space="preserve">a integração vertical também não é </w:t>
      </w:r>
      <w:r w:rsidR="006E572B">
        <w:rPr>
          <w:rFonts w:ascii="Arial" w:hAnsi="Arial" w:cs="Arial"/>
        </w:rPr>
        <w:t>vedada</w:t>
      </w:r>
      <w:r>
        <w:rPr>
          <w:rFonts w:ascii="Arial" w:hAnsi="Arial" w:cs="Arial"/>
        </w:rPr>
        <w:t>, sendo que na maioria dos casos, o revendedor pertence à refinaria-distribuidor</w:t>
      </w:r>
      <w:r w:rsidR="004F6002">
        <w:rPr>
          <w:rFonts w:ascii="Arial" w:hAnsi="Arial" w:cs="Arial"/>
        </w:rPr>
        <w:t>a</w:t>
      </w:r>
      <w:r>
        <w:rPr>
          <w:rFonts w:ascii="Arial" w:hAnsi="Arial" w:cs="Arial"/>
        </w:rPr>
        <w:t xml:space="preserve"> ou encontra-se vinculado a esta por meio de contratos de ex</w:t>
      </w:r>
      <w:r w:rsidRPr="005A7608">
        <w:rPr>
          <w:rFonts w:ascii="Arial" w:hAnsi="Arial" w:cs="Arial"/>
        </w:rPr>
        <w:t xml:space="preserve">clusividade. </w:t>
      </w:r>
      <w:r>
        <w:rPr>
          <w:rFonts w:ascii="Arial" w:hAnsi="Arial" w:cs="Arial"/>
        </w:rPr>
        <w:t>Observa-se, contudo,</w:t>
      </w:r>
      <w:r w:rsidR="004F6002">
        <w:rPr>
          <w:rFonts w:ascii="Arial" w:hAnsi="Arial" w:cs="Arial"/>
        </w:rPr>
        <w:t xml:space="preserve"> a existência de estudos que mostram que os </w:t>
      </w:r>
      <w:r w:rsidR="004F6002" w:rsidRPr="00A828BA">
        <w:rPr>
          <w:rFonts w:ascii="Arial" w:hAnsi="Arial" w:cs="Arial"/>
          <w:b/>
        </w:rPr>
        <w:t xml:space="preserve">preços praticados por </w:t>
      </w:r>
      <w:r w:rsidR="004F6002" w:rsidRPr="00A828BA">
        <w:rPr>
          <w:rFonts w:ascii="Arial" w:hAnsi="Arial" w:cs="Arial"/>
          <w:b/>
        </w:rPr>
        <w:lastRenderedPageBreak/>
        <w:t>postos independentes (bandeira branca) são menores</w:t>
      </w:r>
      <w:r w:rsidR="004F6002">
        <w:rPr>
          <w:rFonts w:ascii="Arial" w:hAnsi="Arial" w:cs="Arial"/>
        </w:rPr>
        <w:t xml:space="preserve"> e concorrem mais acirradamente com os postos detidos pelas refinarias-distribuidoras, do que com aqueles que se encontram </w:t>
      </w:r>
      <w:r w:rsidR="004F6002" w:rsidRPr="00A828BA">
        <w:rPr>
          <w:rFonts w:ascii="Arial" w:hAnsi="Arial" w:cs="Arial"/>
          <w:b/>
        </w:rPr>
        <w:t>contratualmente vinculados</w:t>
      </w:r>
      <w:r w:rsidR="004F6002">
        <w:rPr>
          <w:rFonts w:ascii="Arial" w:hAnsi="Arial" w:cs="Arial"/>
        </w:rPr>
        <w:t>.</w:t>
      </w:r>
    </w:p>
    <w:p w:rsidR="004F6002" w:rsidRDefault="004F6002" w:rsidP="005A7608">
      <w:pPr>
        <w:ind w:firstLine="708"/>
        <w:jc w:val="both"/>
        <w:rPr>
          <w:rFonts w:ascii="Arial" w:hAnsi="Arial" w:cs="Arial"/>
        </w:rPr>
      </w:pPr>
    </w:p>
    <w:p w:rsidR="005A7608" w:rsidRDefault="004F6002" w:rsidP="004F6002">
      <w:pPr>
        <w:ind w:firstLine="708"/>
        <w:jc w:val="both"/>
        <w:rPr>
          <w:rFonts w:ascii="Arial" w:hAnsi="Arial" w:cs="Arial"/>
        </w:rPr>
      </w:pPr>
      <w:r>
        <w:rPr>
          <w:rFonts w:ascii="Arial" w:hAnsi="Arial" w:cs="Arial"/>
        </w:rPr>
        <w:t xml:space="preserve">O trabalho da </w:t>
      </w:r>
      <w:r w:rsidR="005A7608">
        <w:rPr>
          <w:rFonts w:ascii="Arial" w:hAnsi="Arial" w:cs="Arial"/>
        </w:rPr>
        <w:t>OCDE (2008, p. 34-35)</w:t>
      </w:r>
      <w:r>
        <w:rPr>
          <w:rFonts w:ascii="Arial" w:hAnsi="Arial" w:cs="Arial"/>
        </w:rPr>
        <w:t xml:space="preserve"> aponta </w:t>
      </w:r>
      <w:r w:rsidR="006E572B">
        <w:rPr>
          <w:rFonts w:ascii="Arial" w:hAnsi="Arial" w:cs="Arial"/>
        </w:rPr>
        <w:t xml:space="preserve">ainda </w:t>
      </w:r>
      <w:r>
        <w:rPr>
          <w:rFonts w:ascii="Arial" w:hAnsi="Arial" w:cs="Arial"/>
        </w:rPr>
        <w:t xml:space="preserve">para a existência de </w:t>
      </w:r>
      <w:r w:rsidR="005A7608" w:rsidRPr="005A7608">
        <w:rPr>
          <w:rFonts w:ascii="Arial" w:hAnsi="Arial" w:cs="Arial"/>
        </w:rPr>
        <w:t>um grande número de litígios entre revendedores e refinarias</w:t>
      </w:r>
      <w:r>
        <w:rPr>
          <w:rFonts w:ascii="Arial" w:hAnsi="Arial" w:cs="Arial"/>
        </w:rPr>
        <w:t>-distribuidoras</w:t>
      </w:r>
      <w:r w:rsidR="006E572B">
        <w:rPr>
          <w:rFonts w:ascii="Arial" w:hAnsi="Arial" w:cs="Arial"/>
        </w:rPr>
        <w:t xml:space="preserve"> na Espanha</w:t>
      </w:r>
      <w:r w:rsidR="005A7608" w:rsidRPr="005A7608">
        <w:rPr>
          <w:rFonts w:ascii="Arial" w:hAnsi="Arial" w:cs="Arial"/>
        </w:rPr>
        <w:t xml:space="preserve">, nos quais </w:t>
      </w:r>
      <w:r w:rsidR="006E572B">
        <w:rPr>
          <w:rFonts w:ascii="Arial" w:hAnsi="Arial" w:cs="Arial"/>
        </w:rPr>
        <w:t xml:space="preserve">foram </w:t>
      </w:r>
      <w:r w:rsidR="005A7608" w:rsidRPr="005A7608">
        <w:rPr>
          <w:rFonts w:ascii="Arial" w:hAnsi="Arial" w:cs="Arial"/>
        </w:rPr>
        <w:t>discuti</w:t>
      </w:r>
      <w:r w:rsidR="006E572B">
        <w:rPr>
          <w:rFonts w:ascii="Arial" w:hAnsi="Arial" w:cs="Arial"/>
        </w:rPr>
        <w:t>das e avaliadas as</w:t>
      </w:r>
      <w:r w:rsidR="005A7608" w:rsidRPr="005A7608">
        <w:rPr>
          <w:rFonts w:ascii="Arial" w:hAnsi="Arial" w:cs="Arial"/>
        </w:rPr>
        <w:t xml:space="preserve"> cláusulas contratuais abusivas</w:t>
      </w:r>
      <w:r w:rsidR="006E572B">
        <w:rPr>
          <w:rFonts w:ascii="Arial" w:hAnsi="Arial" w:cs="Arial"/>
        </w:rPr>
        <w:t>. Esses litígios, ainda segundo a OCDE,</w:t>
      </w:r>
      <w:r>
        <w:rPr>
          <w:rFonts w:ascii="Arial" w:hAnsi="Arial" w:cs="Arial"/>
        </w:rPr>
        <w:t xml:space="preserve"> </w:t>
      </w:r>
      <w:r w:rsidR="006E572B">
        <w:rPr>
          <w:rFonts w:ascii="Arial" w:hAnsi="Arial" w:cs="Arial"/>
        </w:rPr>
        <w:t xml:space="preserve">envolveram </w:t>
      </w:r>
      <w:r>
        <w:rPr>
          <w:rFonts w:ascii="Arial" w:hAnsi="Arial" w:cs="Arial"/>
        </w:rPr>
        <w:t xml:space="preserve">as principais distribuidoras espanholas </w:t>
      </w:r>
      <w:r w:rsidR="006E572B">
        <w:rPr>
          <w:rFonts w:ascii="Arial" w:hAnsi="Arial" w:cs="Arial"/>
        </w:rPr>
        <w:t>acarretando</w:t>
      </w:r>
      <w:r>
        <w:rPr>
          <w:rFonts w:ascii="Arial" w:hAnsi="Arial" w:cs="Arial"/>
        </w:rPr>
        <w:t>, inclusive</w:t>
      </w:r>
      <w:r w:rsidR="006E572B">
        <w:rPr>
          <w:rFonts w:ascii="Arial" w:hAnsi="Arial" w:cs="Arial"/>
        </w:rPr>
        <w:t xml:space="preserve">, (a) em suas </w:t>
      </w:r>
      <w:r>
        <w:rPr>
          <w:rFonts w:ascii="Arial" w:hAnsi="Arial" w:cs="Arial"/>
        </w:rPr>
        <w:t>condenaç</w:t>
      </w:r>
      <w:r w:rsidR="006E572B">
        <w:rPr>
          <w:rFonts w:ascii="Arial" w:hAnsi="Arial" w:cs="Arial"/>
        </w:rPr>
        <w:t xml:space="preserve">ões </w:t>
      </w:r>
      <w:r>
        <w:rPr>
          <w:rFonts w:ascii="Arial" w:hAnsi="Arial" w:cs="Arial"/>
        </w:rPr>
        <w:t>por</w:t>
      </w:r>
      <w:r w:rsidR="005A7608" w:rsidRPr="005A7608">
        <w:rPr>
          <w:rFonts w:ascii="Arial" w:hAnsi="Arial" w:cs="Arial"/>
        </w:rPr>
        <w:t xml:space="preserve"> fixação do preço de revenda</w:t>
      </w:r>
      <w:r w:rsidR="006E572B">
        <w:rPr>
          <w:rFonts w:ascii="Arial" w:hAnsi="Arial" w:cs="Arial"/>
        </w:rPr>
        <w:t xml:space="preserve"> (Caso Repsol-Cepsa), em 2000; ou, ainda, (b) na celebração de </w:t>
      </w:r>
      <w:r w:rsidR="005A7608" w:rsidRPr="005A7608">
        <w:rPr>
          <w:rFonts w:ascii="Arial" w:hAnsi="Arial" w:cs="Arial"/>
        </w:rPr>
        <w:t>acordo</w:t>
      </w:r>
      <w:r w:rsidR="006E572B">
        <w:rPr>
          <w:rFonts w:ascii="Arial" w:hAnsi="Arial" w:cs="Arial"/>
        </w:rPr>
        <w:t xml:space="preserve"> entre Repsol e a autoridade de defesa da concorrência, em 2006, pelo qual </w:t>
      </w:r>
      <w:r w:rsidR="005A7608" w:rsidRPr="005A7608">
        <w:rPr>
          <w:rFonts w:ascii="Arial" w:hAnsi="Arial" w:cs="Arial"/>
        </w:rPr>
        <w:t>a</w:t>
      </w:r>
      <w:r w:rsidR="006E572B">
        <w:rPr>
          <w:rFonts w:ascii="Arial" w:hAnsi="Arial" w:cs="Arial"/>
        </w:rPr>
        <w:t xml:space="preserve"> primeira </w:t>
      </w:r>
      <w:r w:rsidR="005A7608" w:rsidRPr="005A7608">
        <w:rPr>
          <w:rFonts w:ascii="Arial" w:hAnsi="Arial" w:cs="Arial"/>
        </w:rPr>
        <w:t>se comprometeu a limitar a duração de seus contratos de exclusividade a 5 anos.</w:t>
      </w:r>
    </w:p>
    <w:p w:rsidR="004F6002" w:rsidRDefault="004F6002" w:rsidP="004F6002">
      <w:pPr>
        <w:ind w:firstLine="708"/>
        <w:jc w:val="both"/>
        <w:rPr>
          <w:rFonts w:ascii="Arial" w:hAnsi="Arial" w:cs="Arial"/>
        </w:rPr>
      </w:pPr>
    </w:p>
    <w:p w:rsidR="00184E3E" w:rsidRDefault="00184E3E" w:rsidP="004F6002">
      <w:pPr>
        <w:ind w:firstLine="708"/>
        <w:jc w:val="both"/>
        <w:rPr>
          <w:rFonts w:ascii="Arial" w:hAnsi="Arial" w:cs="Arial"/>
        </w:rPr>
      </w:pPr>
      <w:r>
        <w:rPr>
          <w:rFonts w:ascii="Arial" w:hAnsi="Arial" w:cs="Arial"/>
        </w:rPr>
        <w:t xml:space="preserve">Na Turquia, embora não haja uma restrição para distribuidoras operarem diretamente postos revendedores, a regulação determina expressamente que esta </w:t>
      </w:r>
      <w:r w:rsidRPr="00A828BA">
        <w:rPr>
          <w:rFonts w:ascii="Arial" w:hAnsi="Arial" w:cs="Arial"/>
          <w:b/>
        </w:rPr>
        <w:t>integração deve se limitar a no máximo 15</w:t>
      </w:r>
      <w:r w:rsidR="00B567F8" w:rsidRPr="00A828BA">
        <w:rPr>
          <w:rFonts w:ascii="Arial" w:hAnsi="Arial" w:cs="Arial"/>
          <w:b/>
        </w:rPr>
        <w:t xml:space="preserve">% do volume total </w:t>
      </w:r>
      <w:r w:rsidR="006E572B">
        <w:rPr>
          <w:rFonts w:ascii="Arial" w:hAnsi="Arial" w:cs="Arial"/>
          <w:b/>
        </w:rPr>
        <w:t xml:space="preserve">de combustíveis </w:t>
      </w:r>
      <w:r w:rsidR="00B567F8" w:rsidRPr="00A828BA">
        <w:rPr>
          <w:rFonts w:ascii="Arial" w:hAnsi="Arial" w:cs="Arial"/>
          <w:b/>
        </w:rPr>
        <w:t>ofertado no mercado doméstico</w:t>
      </w:r>
      <w:r w:rsidR="00B567F8">
        <w:rPr>
          <w:rFonts w:ascii="Arial" w:hAnsi="Arial" w:cs="Arial"/>
        </w:rPr>
        <w:t xml:space="preserve">. A Lei da Turquia também determina que a </w:t>
      </w:r>
      <w:r w:rsidR="00B567F8" w:rsidRPr="00A828BA">
        <w:rPr>
          <w:rFonts w:ascii="Arial" w:hAnsi="Arial" w:cs="Arial"/>
          <w:b/>
        </w:rPr>
        <w:t>distribuidora deverá garantir tratamento isonômico</w:t>
      </w:r>
      <w:r w:rsidR="00B567F8">
        <w:rPr>
          <w:rFonts w:ascii="Arial" w:hAnsi="Arial" w:cs="Arial"/>
        </w:rPr>
        <w:t xml:space="preserve">, de forma a </w:t>
      </w:r>
      <w:r w:rsidR="00B567F8" w:rsidRPr="00A828BA">
        <w:rPr>
          <w:rFonts w:ascii="Arial" w:hAnsi="Arial" w:cs="Arial"/>
          <w:b/>
        </w:rPr>
        <w:t>não discriminar ou</w:t>
      </w:r>
      <w:r w:rsidR="006E572B">
        <w:rPr>
          <w:rFonts w:ascii="Arial" w:hAnsi="Arial" w:cs="Arial"/>
          <w:b/>
        </w:rPr>
        <w:t xml:space="preserve"> a não</w:t>
      </w:r>
      <w:r w:rsidR="00B567F8" w:rsidRPr="00A828BA">
        <w:rPr>
          <w:rFonts w:ascii="Arial" w:hAnsi="Arial" w:cs="Arial"/>
          <w:b/>
        </w:rPr>
        <w:t xml:space="preserve"> garantir subsídios aos postos revendedores de sua propriedade</w:t>
      </w:r>
      <w:r w:rsidR="00B567F8">
        <w:rPr>
          <w:rFonts w:ascii="Arial" w:hAnsi="Arial" w:cs="Arial"/>
        </w:rPr>
        <w:t xml:space="preserve">, em detrimento daqueles de terceiros. Há ainda um certo </w:t>
      </w:r>
      <w:r w:rsidR="00B567F8" w:rsidRPr="00A828BA">
        <w:rPr>
          <w:rFonts w:ascii="Arial" w:hAnsi="Arial" w:cs="Arial"/>
          <w:b/>
        </w:rPr>
        <w:t>controle estatal sobre os preços praticados na revenda</w:t>
      </w:r>
      <w:r w:rsidR="00B567F8">
        <w:rPr>
          <w:rFonts w:ascii="Arial" w:hAnsi="Arial" w:cs="Arial"/>
        </w:rPr>
        <w:t>, a partir da fixação de patamares máximos que acabam acompanhando os preços internacionais (OCDE, 2008, p. 161-165).</w:t>
      </w:r>
    </w:p>
    <w:p w:rsidR="00184E3E" w:rsidRDefault="00184E3E" w:rsidP="004F6002">
      <w:pPr>
        <w:ind w:firstLine="708"/>
        <w:jc w:val="both"/>
        <w:rPr>
          <w:rFonts w:ascii="Arial" w:hAnsi="Arial" w:cs="Arial"/>
        </w:rPr>
      </w:pPr>
    </w:p>
    <w:p w:rsidR="004F6002" w:rsidRDefault="008905E8" w:rsidP="004F6002">
      <w:pPr>
        <w:ind w:firstLine="708"/>
        <w:jc w:val="both"/>
        <w:rPr>
          <w:rFonts w:ascii="Arial" w:hAnsi="Arial" w:cs="Arial"/>
        </w:rPr>
      </w:pPr>
      <w:r>
        <w:rPr>
          <w:rFonts w:ascii="Arial" w:hAnsi="Arial" w:cs="Arial"/>
        </w:rPr>
        <w:t xml:space="preserve">No Reino Unido </w:t>
      </w:r>
      <w:r w:rsidR="006E572B">
        <w:rPr>
          <w:rFonts w:ascii="Arial" w:hAnsi="Arial" w:cs="Arial"/>
        </w:rPr>
        <w:t xml:space="preserve">também </w:t>
      </w:r>
      <w:r>
        <w:rPr>
          <w:rFonts w:ascii="Arial" w:hAnsi="Arial" w:cs="Arial"/>
        </w:rPr>
        <w:t>não há obstáculos à integração vertical</w:t>
      </w:r>
      <w:r w:rsidR="006E572B">
        <w:rPr>
          <w:rFonts w:ascii="Arial" w:hAnsi="Arial" w:cs="Arial"/>
        </w:rPr>
        <w:t>.</w:t>
      </w:r>
      <w:r>
        <w:rPr>
          <w:rFonts w:ascii="Arial" w:hAnsi="Arial" w:cs="Arial"/>
        </w:rPr>
        <w:t xml:space="preserve"> </w:t>
      </w:r>
      <w:r w:rsidR="006E572B">
        <w:rPr>
          <w:rFonts w:ascii="Arial" w:hAnsi="Arial" w:cs="Arial"/>
        </w:rPr>
        <w:t>N</w:t>
      </w:r>
      <w:r>
        <w:rPr>
          <w:rFonts w:ascii="Arial" w:hAnsi="Arial" w:cs="Arial"/>
        </w:rPr>
        <w:t>o entanto, segundo a OCDE (2018, p. 36)</w:t>
      </w:r>
      <w:r w:rsidR="006E572B">
        <w:rPr>
          <w:rFonts w:ascii="Arial" w:hAnsi="Arial" w:cs="Arial"/>
        </w:rPr>
        <w:t>,</w:t>
      </w:r>
      <w:r>
        <w:rPr>
          <w:rFonts w:ascii="Arial" w:hAnsi="Arial" w:cs="Arial"/>
        </w:rPr>
        <w:t xml:space="preserve"> não é elevada a participação de mercado de empresas que adotam um modelo de verticalização, de forma</w:t>
      </w:r>
      <w:r w:rsidR="006E572B">
        <w:rPr>
          <w:rFonts w:ascii="Arial" w:hAnsi="Arial" w:cs="Arial"/>
        </w:rPr>
        <w:t xml:space="preserve"> a não haver por parte das autoridades nacionais (regulatória e antitruste)</w:t>
      </w:r>
      <w:r>
        <w:rPr>
          <w:rFonts w:ascii="Arial" w:hAnsi="Arial" w:cs="Arial"/>
        </w:rPr>
        <w:t xml:space="preserve"> maiores preocupações em relação à potencialidade de fechamento de mercado.</w:t>
      </w:r>
    </w:p>
    <w:p w:rsidR="00A866C5" w:rsidRDefault="00A866C5" w:rsidP="004F6002">
      <w:pPr>
        <w:ind w:firstLine="708"/>
        <w:jc w:val="both"/>
        <w:rPr>
          <w:rFonts w:ascii="Arial" w:hAnsi="Arial" w:cs="Arial"/>
        </w:rPr>
      </w:pPr>
    </w:p>
    <w:p w:rsidR="00651650" w:rsidRDefault="00A866C5" w:rsidP="00A866C5">
      <w:pPr>
        <w:ind w:firstLine="708"/>
        <w:jc w:val="both"/>
        <w:rPr>
          <w:rFonts w:ascii="Arial" w:hAnsi="Arial" w:cs="Arial"/>
        </w:rPr>
      </w:pPr>
      <w:r>
        <w:rPr>
          <w:rFonts w:ascii="Arial" w:hAnsi="Arial" w:cs="Arial"/>
        </w:rPr>
        <w:t xml:space="preserve">Nos Estados Unidos da América, em razão do segmento de produção, distribuição e revenda de combustíveis ser de competência estadual, verifica-se </w:t>
      </w:r>
      <w:r w:rsidR="006E572B">
        <w:rPr>
          <w:rFonts w:ascii="Arial" w:hAnsi="Arial" w:cs="Arial"/>
        </w:rPr>
        <w:t>haver</w:t>
      </w:r>
      <w:r>
        <w:rPr>
          <w:rFonts w:ascii="Arial" w:hAnsi="Arial" w:cs="Arial"/>
        </w:rPr>
        <w:t xml:space="preserve"> restrições regulatórias acerca da integração vertical e</w:t>
      </w:r>
      <w:r w:rsidR="006E572B">
        <w:rPr>
          <w:rFonts w:ascii="Arial" w:hAnsi="Arial" w:cs="Arial"/>
        </w:rPr>
        <w:t>m alguns estados e,</w:t>
      </w:r>
      <w:r>
        <w:rPr>
          <w:rFonts w:ascii="Arial" w:hAnsi="Arial" w:cs="Arial"/>
        </w:rPr>
        <w:t xml:space="preserve"> em outros não. Embora a Federal Trade Commission norte-americana já tenha se posicionado contr</w:t>
      </w:r>
      <w:r w:rsidR="006E572B">
        <w:rPr>
          <w:rFonts w:ascii="Arial" w:hAnsi="Arial" w:cs="Arial"/>
        </w:rPr>
        <w:t>ariamente</w:t>
      </w:r>
      <w:r>
        <w:rPr>
          <w:rFonts w:ascii="Arial" w:hAnsi="Arial" w:cs="Arial"/>
        </w:rPr>
        <w:t xml:space="preserve"> às legislações estaduais que vedam a verticalização, a OCDE (2008, p. 37-39) destaca, a partir do relato de alguns estudos empíricos, que este entendimento não é uma unanimidade</w:t>
      </w:r>
      <w:r w:rsidR="006E572B">
        <w:rPr>
          <w:rFonts w:ascii="Arial" w:hAnsi="Arial" w:cs="Arial"/>
        </w:rPr>
        <w:t xml:space="preserve"> entre os acadêmicos</w:t>
      </w:r>
      <w:r>
        <w:rPr>
          <w:rFonts w:ascii="Arial" w:hAnsi="Arial" w:cs="Arial"/>
        </w:rPr>
        <w:t xml:space="preserve">. </w:t>
      </w:r>
    </w:p>
    <w:p w:rsidR="00651650" w:rsidRDefault="00651650" w:rsidP="00A866C5">
      <w:pPr>
        <w:ind w:firstLine="708"/>
        <w:jc w:val="both"/>
        <w:rPr>
          <w:rFonts w:ascii="Arial" w:hAnsi="Arial" w:cs="Arial"/>
        </w:rPr>
      </w:pPr>
    </w:p>
    <w:p w:rsidR="00651650" w:rsidRDefault="00651650" w:rsidP="00A866C5">
      <w:pPr>
        <w:ind w:firstLine="708"/>
        <w:jc w:val="both"/>
        <w:rPr>
          <w:rFonts w:ascii="Arial" w:hAnsi="Arial" w:cs="Arial"/>
        </w:rPr>
      </w:pPr>
      <w:r>
        <w:rPr>
          <w:rFonts w:ascii="Arial" w:hAnsi="Arial" w:cs="Arial"/>
        </w:rPr>
        <w:t xml:space="preserve">Em seu </w:t>
      </w:r>
      <w:r w:rsidR="009073AC">
        <w:rPr>
          <w:rFonts w:ascii="Arial" w:hAnsi="Arial" w:cs="Arial"/>
          <w:i/>
        </w:rPr>
        <w:t>paper</w:t>
      </w:r>
      <w:r w:rsidR="009073AC">
        <w:rPr>
          <w:rFonts w:ascii="Arial" w:hAnsi="Arial" w:cs="Arial"/>
        </w:rPr>
        <w:t xml:space="preserve"> de 2008, </w:t>
      </w:r>
      <w:r>
        <w:rPr>
          <w:rFonts w:ascii="Arial" w:hAnsi="Arial" w:cs="Arial"/>
        </w:rPr>
        <w:t>a OCDE conclui</w:t>
      </w:r>
      <w:r w:rsidR="006E572B">
        <w:rPr>
          <w:rFonts w:ascii="Arial" w:hAnsi="Arial" w:cs="Arial"/>
        </w:rPr>
        <w:t>u</w:t>
      </w:r>
      <w:r w:rsidR="009073AC">
        <w:rPr>
          <w:rFonts w:ascii="Arial" w:hAnsi="Arial" w:cs="Arial"/>
        </w:rPr>
        <w:t>, por exemplo,</w:t>
      </w:r>
      <w:r>
        <w:rPr>
          <w:rFonts w:ascii="Arial" w:hAnsi="Arial" w:cs="Arial"/>
        </w:rPr>
        <w:t xml:space="preserve"> que </w:t>
      </w:r>
      <w:r w:rsidR="009073AC">
        <w:rPr>
          <w:rFonts w:ascii="Arial" w:hAnsi="Arial" w:cs="Arial"/>
        </w:rPr>
        <w:t xml:space="preserve">os dados coletados mostram que a maioria dos países consultados traz </w:t>
      </w:r>
      <w:r>
        <w:rPr>
          <w:rFonts w:ascii="Arial" w:hAnsi="Arial" w:cs="Arial"/>
        </w:rPr>
        <w:t xml:space="preserve">preocupações concorrenciais e regulatórias </w:t>
      </w:r>
      <w:r w:rsidR="009073AC">
        <w:rPr>
          <w:rFonts w:ascii="Arial" w:hAnsi="Arial" w:cs="Arial"/>
        </w:rPr>
        <w:t xml:space="preserve">em relação aos impactos anticompetitivos </w:t>
      </w:r>
      <w:r>
        <w:rPr>
          <w:rFonts w:ascii="Arial" w:hAnsi="Arial" w:cs="Arial"/>
        </w:rPr>
        <w:t xml:space="preserve">dos contratos de exclusividade existentes entre produtor-distribuidora e revendedores, do que propriamente </w:t>
      </w:r>
      <w:r w:rsidR="009073AC">
        <w:rPr>
          <w:rFonts w:ascii="Arial" w:hAnsi="Arial" w:cs="Arial"/>
        </w:rPr>
        <w:t>consideram esses contratos negligenciáveis em termos de problemas competitivo</w:t>
      </w:r>
      <w:r>
        <w:rPr>
          <w:rFonts w:ascii="Arial" w:hAnsi="Arial" w:cs="Arial"/>
        </w:rPr>
        <w:t>s, conforme destaca o trecho transcrito abaixo:</w:t>
      </w:r>
    </w:p>
    <w:p w:rsidR="00651650" w:rsidRPr="00651650" w:rsidRDefault="00651650" w:rsidP="00A866C5">
      <w:pPr>
        <w:ind w:firstLine="708"/>
        <w:jc w:val="both"/>
        <w:rPr>
          <w:rFonts w:ascii="Arial" w:hAnsi="Arial" w:cs="Arial"/>
          <w:sz w:val="20"/>
          <w:szCs w:val="20"/>
        </w:rPr>
      </w:pPr>
    </w:p>
    <w:p w:rsidR="00651650" w:rsidRPr="00651650" w:rsidRDefault="00651650" w:rsidP="00651650">
      <w:pPr>
        <w:ind w:left="1416"/>
        <w:jc w:val="both"/>
        <w:rPr>
          <w:rFonts w:ascii="Arial" w:hAnsi="Arial" w:cs="Arial"/>
          <w:i/>
          <w:sz w:val="20"/>
          <w:szCs w:val="20"/>
          <w:lang w:val="en-US"/>
        </w:rPr>
      </w:pPr>
      <w:r w:rsidRPr="00651650">
        <w:rPr>
          <w:rFonts w:ascii="Arial" w:hAnsi="Arial" w:cs="Arial"/>
          <w:sz w:val="20"/>
          <w:szCs w:val="20"/>
          <w:lang w:val="en-US"/>
        </w:rPr>
        <w:t>“</w:t>
      </w:r>
      <w:r w:rsidRPr="00651650">
        <w:rPr>
          <w:rFonts w:ascii="Arial" w:hAnsi="Arial" w:cs="Arial"/>
          <w:b/>
          <w:i/>
          <w:sz w:val="20"/>
          <w:szCs w:val="20"/>
          <w:lang w:val="en-US"/>
        </w:rPr>
        <w:t>There are several conflicting propositions about the effects of mandatory vertical unbundling and vertical integration more generally in gasoline markets</w:t>
      </w:r>
      <w:r w:rsidRPr="00651650">
        <w:rPr>
          <w:rFonts w:ascii="Arial" w:hAnsi="Arial" w:cs="Arial"/>
          <w:i/>
          <w:sz w:val="20"/>
          <w:szCs w:val="20"/>
          <w:lang w:val="en-US"/>
        </w:rPr>
        <w:t xml:space="preserve">. On the narrow question of mandatory vertical unbundling, empirical </w:t>
      </w:r>
      <w:r w:rsidRPr="00651650">
        <w:rPr>
          <w:rFonts w:ascii="Arial" w:hAnsi="Arial" w:cs="Arial"/>
          <w:i/>
          <w:sz w:val="20"/>
          <w:szCs w:val="20"/>
          <w:lang w:val="en-US"/>
        </w:rPr>
        <w:lastRenderedPageBreak/>
        <w:t xml:space="preserve">evidence generally supports the proposition that such laws and regulations are of little or no benefit to consumers. However, </w:t>
      </w:r>
      <w:r w:rsidRPr="00A828BA">
        <w:rPr>
          <w:rFonts w:ascii="Arial" w:hAnsi="Arial" w:cs="Arial"/>
          <w:b/>
          <w:i/>
          <w:sz w:val="20"/>
          <w:szCs w:val="20"/>
          <w:lang w:val="en-US"/>
        </w:rPr>
        <w:t>the general policy issue of vertical integration in gasoline retailing is more complicated</w:t>
      </w:r>
      <w:r w:rsidRPr="00651650">
        <w:rPr>
          <w:rFonts w:ascii="Arial" w:hAnsi="Arial" w:cs="Arial"/>
          <w:i/>
          <w:sz w:val="20"/>
          <w:szCs w:val="20"/>
          <w:lang w:val="en-US"/>
        </w:rPr>
        <w:t xml:space="preserve">. Principally, there is evidence that </w:t>
      </w:r>
      <w:r w:rsidRPr="00651650">
        <w:rPr>
          <w:rFonts w:ascii="Arial" w:hAnsi="Arial" w:cs="Arial"/>
          <w:b/>
          <w:i/>
          <w:sz w:val="20"/>
          <w:szCs w:val="20"/>
          <w:lang w:val="en-US"/>
        </w:rPr>
        <w:t>the newest strong force for competition in gasoline retailing is the presence of independent retailers selling unbranded gasoline</w:t>
      </w:r>
      <w:r w:rsidRPr="00651650">
        <w:rPr>
          <w:rFonts w:ascii="Arial" w:hAnsi="Arial" w:cs="Arial"/>
          <w:i/>
          <w:sz w:val="20"/>
          <w:szCs w:val="20"/>
          <w:lang w:val="en-US"/>
        </w:rPr>
        <w:t xml:space="preserve">. The </w:t>
      </w:r>
      <w:r w:rsidRPr="00651650">
        <w:rPr>
          <w:rFonts w:ascii="Arial" w:hAnsi="Arial" w:cs="Arial"/>
          <w:b/>
          <w:i/>
          <w:sz w:val="20"/>
          <w:szCs w:val="20"/>
          <w:lang w:val="en-US"/>
        </w:rPr>
        <w:t>counterpoint to the ill effects of mandatory vertical unbundling is that entry of novel independent retailers (often grocery retailers) could be impeded and incumbent independent non-branded retailers could be forced to exit if refiners predominantly vertically integrate and sell only to branded retailers</w:t>
      </w:r>
      <w:r w:rsidRPr="00651650">
        <w:rPr>
          <w:rFonts w:ascii="Arial" w:hAnsi="Arial" w:cs="Arial"/>
          <w:i/>
          <w:sz w:val="20"/>
          <w:szCs w:val="20"/>
          <w:lang w:val="en-US"/>
        </w:rPr>
        <w:t>.</w:t>
      </w:r>
    </w:p>
    <w:p w:rsidR="00651650" w:rsidRPr="00651650" w:rsidRDefault="00651650" w:rsidP="00651650">
      <w:pPr>
        <w:ind w:left="1416"/>
        <w:jc w:val="both"/>
        <w:rPr>
          <w:rFonts w:ascii="Arial" w:hAnsi="Arial" w:cs="Arial"/>
          <w:i/>
          <w:sz w:val="20"/>
          <w:szCs w:val="20"/>
          <w:lang w:val="en-US"/>
        </w:rPr>
      </w:pPr>
    </w:p>
    <w:p w:rsidR="00A866C5" w:rsidRPr="00A828BA" w:rsidRDefault="00651650" w:rsidP="00651650">
      <w:pPr>
        <w:ind w:left="1416"/>
        <w:jc w:val="both"/>
        <w:rPr>
          <w:rFonts w:ascii="Arial" w:hAnsi="Arial" w:cs="Arial"/>
          <w:sz w:val="20"/>
          <w:szCs w:val="20"/>
        </w:rPr>
      </w:pPr>
      <w:r w:rsidRPr="00651650">
        <w:rPr>
          <w:rFonts w:ascii="Arial" w:hAnsi="Arial" w:cs="Arial"/>
          <w:b/>
          <w:i/>
          <w:sz w:val="20"/>
          <w:szCs w:val="20"/>
          <w:lang w:val="en-US"/>
        </w:rPr>
        <w:t>Laws and regulations about vertical integration</w:t>
      </w:r>
      <w:r w:rsidRPr="00651650">
        <w:rPr>
          <w:rFonts w:ascii="Arial" w:hAnsi="Arial" w:cs="Arial"/>
          <w:i/>
          <w:sz w:val="20"/>
          <w:szCs w:val="20"/>
          <w:lang w:val="en-US"/>
        </w:rPr>
        <w:t xml:space="preserve"> in this sector are only tangentially related to </w:t>
      </w:r>
      <w:r w:rsidRPr="00651650">
        <w:rPr>
          <w:rFonts w:ascii="Arial" w:hAnsi="Arial" w:cs="Arial"/>
          <w:b/>
          <w:i/>
          <w:sz w:val="20"/>
          <w:szCs w:val="20"/>
          <w:lang w:val="en-US"/>
        </w:rPr>
        <w:t>relevant competitive concerns</w:t>
      </w:r>
      <w:r w:rsidRPr="00651650">
        <w:rPr>
          <w:rFonts w:ascii="Arial" w:hAnsi="Arial" w:cs="Arial"/>
          <w:i/>
          <w:sz w:val="20"/>
          <w:szCs w:val="20"/>
          <w:lang w:val="en-US"/>
        </w:rPr>
        <w:t xml:space="preserve">. Instead, </w:t>
      </w:r>
      <w:r w:rsidRPr="00651650">
        <w:rPr>
          <w:rFonts w:ascii="Arial" w:hAnsi="Arial" w:cs="Arial"/>
          <w:b/>
          <w:i/>
          <w:sz w:val="20"/>
          <w:szCs w:val="20"/>
          <w:lang w:val="en-US"/>
        </w:rPr>
        <w:t xml:space="preserve">they are </w:t>
      </w:r>
      <w:r w:rsidRPr="00A828BA">
        <w:rPr>
          <w:rFonts w:ascii="Arial" w:hAnsi="Arial" w:cs="Arial"/>
          <w:b/>
          <w:i/>
          <w:sz w:val="20"/>
          <w:szCs w:val="20"/>
          <w:u w:val="single"/>
          <w:lang w:val="en-US"/>
        </w:rPr>
        <w:t>focused on recurring and vigorous contractual disputes between refiners and franchisees regarding price discrimination and opportunism</w:t>
      </w:r>
      <w:r w:rsidRPr="00651650">
        <w:rPr>
          <w:rFonts w:ascii="Arial" w:hAnsi="Arial" w:cs="Arial"/>
          <w:i/>
          <w:sz w:val="20"/>
          <w:szCs w:val="20"/>
          <w:lang w:val="en-US"/>
        </w:rPr>
        <w:t xml:space="preserve">. Supporters of vertical integration need to address the </w:t>
      </w:r>
      <w:r w:rsidRPr="00651650">
        <w:rPr>
          <w:rFonts w:ascii="Arial" w:hAnsi="Arial" w:cs="Arial"/>
          <w:b/>
          <w:i/>
          <w:sz w:val="20"/>
          <w:szCs w:val="20"/>
          <w:lang w:val="en-US"/>
        </w:rPr>
        <w:t>problems of contract enforcement resulting from opportunism</w:t>
      </w:r>
      <w:r w:rsidRPr="00651650">
        <w:rPr>
          <w:rFonts w:ascii="Arial" w:hAnsi="Arial" w:cs="Arial"/>
          <w:i/>
          <w:sz w:val="20"/>
          <w:szCs w:val="20"/>
          <w:lang w:val="en-US"/>
        </w:rPr>
        <w:t xml:space="preserve">. Proponents of mandatory unbundling should examine whether </w:t>
      </w:r>
      <w:r w:rsidRPr="00651650">
        <w:rPr>
          <w:rFonts w:ascii="Arial" w:hAnsi="Arial" w:cs="Arial"/>
          <w:b/>
          <w:i/>
          <w:sz w:val="20"/>
          <w:szCs w:val="20"/>
          <w:lang w:val="en-US"/>
        </w:rPr>
        <w:t xml:space="preserve">concerns about </w:t>
      </w:r>
      <w:r w:rsidRPr="00A828BA">
        <w:rPr>
          <w:rFonts w:ascii="Arial" w:hAnsi="Arial" w:cs="Arial"/>
          <w:b/>
          <w:i/>
          <w:sz w:val="20"/>
          <w:szCs w:val="20"/>
          <w:u w:val="single"/>
          <w:lang w:val="en-US"/>
        </w:rPr>
        <w:t>opportunism and cross-subsidization can be addressed under the general laws against abuse of dominance and unfair competition</w:t>
      </w:r>
      <w:r w:rsidRPr="00651650">
        <w:rPr>
          <w:rFonts w:ascii="Arial" w:hAnsi="Arial" w:cs="Arial"/>
          <w:sz w:val="20"/>
          <w:szCs w:val="20"/>
          <w:lang w:val="en-US"/>
        </w:rPr>
        <w:t xml:space="preserve">”. </w:t>
      </w:r>
      <w:r w:rsidRPr="00A828BA">
        <w:rPr>
          <w:rFonts w:ascii="Arial" w:hAnsi="Arial" w:cs="Arial"/>
          <w:sz w:val="20"/>
          <w:szCs w:val="20"/>
        </w:rPr>
        <w:t>(Destacamos)</w:t>
      </w:r>
    </w:p>
    <w:p w:rsidR="00651650" w:rsidRPr="00A828BA" w:rsidRDefault="00651650" w:rsidP="00651650">
      <w:pPr>
        <w:jc w:val="both"/>
        <w:rPr>
          <w:rFonts w:ascii="Arial" w:hAnsi="Arial" w:cs="Arial"/>
        </w:rPr>
      </w:pPr>
      <w:r w:rsidRPr="00A828BA">
        <w:rPr>
          <w:rFonts w:ascii="Arial" w:hAnsi="Arial" w:cs="Arial"/>
        </w:rPr>
        <w:tab/>
      </w:r>
    </w:p>
    <w:p w:rsidR="00651650" w:rsidRDefault="00651650" w:rsidP="00651650">
      <w:pPr>
        <w:jc w:val="both"/>
        <w:rPr>
          <w:rFonts w:ascii="Arial" w:hAnsi="Arial" w:cs="Arial"/>
        </w:rPr>
      </w:pPr>
      <w:r w:rsidRPr="00A828BA">
        <w:rPr>
          <w:rFonts w:ascii="Arial" w:hAnsi="Arial" w:cs="Arial"/>
        </w:rPr>
        <w:tab/>
      </w:r>
      <w:r w:rsidRPr="00651650">
        <w:rPr>
          <w:rFonts w:ascii="Arial" w:hAnsi="Arial" w:cs="Arial"/>
        </w:rPr>
        <w:t xml:space="preserve">A despeito da inexistência de </w:t>
      </w:r>
      <w:r>
        <w:rPr>
          <w:rFonts w:ascii="Arial" w:hAnsi="Arial" w:cs="Arial"/>
        </w:rPr>
        <w:t xml:space="preserve">um padrão regulatório sobre o tema, </w:t>
      </w:r>
      <w:r w:rsidR="009073AC">
        <w:rPr>
          <w:rFonts w:ascii="Arial" w:hAnsi="Arial" w:cs="Arial"/>
        </w:rPr>
        <w:t xml:space="preserve">reitera-se </w:t>
      </w:r>
      <w:r>
        <w:rPr>
          <w:rFonts w:ascii="Arial" w:hAnsi="Arial" w:cs="Arial"/>
        </w:rPr>
        <w:t xml:space="preserve">que na maioria das jurisdições em que o mercado encontra-se concentrado nas mãos de um pequeno número de ofertantes, como ocorre no Brasil, as preocupações </w:t>
      </w:r>
      <w:r w:rsidR="009073AC">
        <w:rPr>
          <w:rFonts w:ascii="Arial" w:hAnsi="Arial" w:cs="Arial"/>
        </w:rPr>
        <w:t xml:space="preserve">quanto à necessidade de </w:t>
      </w:r>
      <w:r>
        <w:rPr>
          <w:rFonts w:ascii="Arial" w:hAnsi="Arial" w:cs="Arial"/>
        </w:rPr>
        <w:t xml:space="preserve">regular as relações entre produtor-distribuidora e revendedores tornam-se maiores, especialmente, no que tange aos contratos celebrados entre eles e seus efeitos de fechamento de mercado, discriminação de preços / </w:t>
      </w:r>
      <w:r>
        <w:rPr>
          <w:rFonts w:ascii="Arial" w:hAnsi="Arial" w:cs="Arial"/>
          <w:i/>
        </w:rPr>
        <w:t>price squeeze</w:t>
      </w:r>
      <w:r w:rsidR="00184E3E">
        <w:rPr>
          <w:rFonts w:ascii="Arial" w:hAnsi="Arial" w:cs="Arial"/>
        </w:rPr>
        <w:t xml:space="preserve"> e colusão.</w:t>
      </w:r>
    </w:p>
    <w:p w:rsidR="00184E3E" w:rsidRDefault="00184E3E" w:rsidP="00651650">
      <w:pPr>
        <w:jc w:val="both"/>
        <w:rPr>
          <w:rFonts w:ascii="Arial" w:hAnsi="Arial" w:cs="Arial"/>
        </w:rPr>
      </w:pPr>
    </w:p>
    <w:p w:rsidR="00184E3E" w:rsidRPr="00651650" w:rsidRDefault="00184E3E" w:rsidP="00651650">
      <w:pPr>
        <w:jc w:val="both"/>
        <w:rPr>
          <w:rFonts w:ascii="Arial" w:hAnsi="Arial" w:cs="Arial"/>
        </w:rPr>
      </w:pPr>
      <w:r>
        <w:rPr>
          <w:rFonts w:ascii="Arial" w:hAnsi="Arial" w:cs="Arial"/>
        </w:rPr>
        <w:tab/>
        <w:t xml:space="preserve">Por estas razões, o Sindacúcar/PE insiste na necessidade de revisão do atual modelo regulador de forma a haver um controle maior por parte da ANP sobre os contratos de exclusividade atualmente </w:t>
      </w:r>
      <w:r w:rsidR="009073AC">
        <w:rPr>
          <w:rFonts w:ascii="Arial" w:hAnsi="Arial" w:cs="Arial"/>
        </w:rPr>
        <w:t xml:space="preserve">existentes </w:t>
      </w:r>
      <w:r>
        <w:rPr>
          <w:rFonts w:ascii="Arial" w:hAnsi="Arial" w:cs="Arial"/>
        </w:rPr>
        <w:t>no mercado</w:t>
      </w:r>
      <w:r w:rsidR="009073AC">
        <w:rPr>
          <w:rFonts w:ascii="Arial" w:hAnsi="Arial" w:cs="Arial"/>
        </w:rPr>
        <w:t xml:space="preserve"> nacional</w:t>
      </w:r>
      <w:r>
        <w:rPr>
          <w:rFonts w:ascii="Arial" w:hAnsi="Arial" w:cs="Arial"/>
        </w:rPr>
        <w:t>, a partir</w:t>
      </w:r>
      <w:r w:rsidR="009073AC">
        <w:rPr>
          <w:rFonts w:ascii="Arial" w:hAnsi="Arial" w:cs="Arial"/>
        </w:rPr>
        <w:t>, por exemplo,</w:t>
      </w:r>
      <w:r>
        <w:rPr>
          <w:rFonts w:ascii="Arial" w:hAnsi="Arial" w:cs="Arial"/>
        </w:rPr>
        <w:t xml:space="preserve"> </w:t>
      </w:r>
      <w:r w:rsidRPr="00A828BA">
        <w:rPr>
          <w:rFonts w:ascii="Arial" w:hAnsi="Arial" w:cs="Arial"/>
          <w:b/>
        </w:rPr>
        <w:t>da redução de seus prazos e limitação no número de postos, em termos de litragem demandada / ofertada, “fechados” por esses contratos ou, mesmo, pela propriedade e operação da distribuidora, na hipótese de se optar pela revogação da regra que impede as distribuidoras e produtores de deterem, societariamente, o controle / operação e propriedade de postos revendedores</w:t>
      </w:r>
      <w:r>
        <w:rPr>
          <w:rFonts w:ascii="Arial" w:hAnsi="Arial" w:cs="Arial"/>
        </w:rPr>
        <w:t xml:space="preserve">.  </w:t>
      </w:r>
    </w:p>
    <w:p w:rsidR="008751CD" w:rsidRPr="00651650" w:rsidRDefault="008751CD" w:rsidP="00B567F8">
      <w:pPr>
        <w:jc w:val="both"/>
        <w:rPr>
          <w:rFonts w:ascii="Arial" w:hAnsi="Arial" w:cs="Arial"/>
        </w:rPr>
      </w:pPr>
    </w:p>
    <w:p w:rsidR="00EE7926" w:rsidRPr="00651650" w:rsidRDefault="00EE7926" w:rsidP="00AC584B">
      <w:pPr>
        <w:jc w:val="both"/>
        <w:rPr>
          <w:rFonts w:ascii="Arial" w:hAnsi="Arial" w:cs="Arial"/>
        </w:rPr>
      </w:pPr>
    </w:p>
    <w:p w:rsidR="00A07EE3" w:rsidRPr="00422108" w:rsidRDefault="00422108" w:rsidP="00AC584B">
      <w:pPr>
        <w:jc w:val="both"/>
        <w:rPr>
          <w:rFonts w:ascii="Arial" w:hAnsi="Arial" w:cs="Arial"/>
          <w:b/>
          <w:i/>
        </w:rPr>
      </w:pPr>
      <w:r>
        <w:rPr>
          <w:rFonts w:ascii="Arial" w:hAnsi="Arial" w:cs="Arial"/>
          <w:b/>
          <w:i/>
        </w:rPr>
        <w:t>I</w:t>
      </w:r>
      <w:r w:rsidR="00555D55">
        <w:rPr>
          <w:rFonts w:ascii="Arial" w:hAnsi="Arial" w:cs="Arial"/>
          <w:b/>
          <w:i/>
        </w:rPr>
        <w:t>V</w:t>
      </w:r>
      <w:r>
        <w:rPr>
          <w:rFonts w:ascii="Arial" w:hAnsi="Arial" w:cs="Arial"/>
          <w:b/>
          <w:i/>
        </w:rPr>
        <w:t xml:space="preserve"> – </w:t>
      </w:r>
      <w:r w:rsidR="00A03643" w:rsidRPr="00FC6B8B">
        <w:rPr>
          <w:rFonts w:ascii="Arial" w:hAnsi="Arial" w:cs="Arial"/>
          <w:b/>
          <w:i/>
          <w:u w:val="single"/>
        </w:rPr>
        <w:t>Os Dados Econômicos que Justificam e Fundamentam o Pleito do Sindaçúcar/PE e</w:t>
      </w:r>
      <w:r w:rsidR="00842161">
        <w:rPr>
          <w:rFonts w:ascii="Arial" w:hAnsi="Arial" w:cs="Arial"/>
          <w:b/>
          <w:i/>
          <w:u w:val="single"/>
        </w:rPr>
        <w:t>m Relação à</w:t>
      </w:r>
      <w:r w:rsidR="00A03643" w:rsidRPr="00FC6B8B">
        <w:rPr>
          <w:rFonts w:ascii="Arial" w:hAnsi="Arial" w:cs="Arial"/>
          <w:b/>
          <w:i/>
          <w:u w:val="single"/>
        </w:rPr>
        <w:t xml:space="preserve"> Revogação das Normas ANP</w:t>
      </w:r>
      <w:r w:rsidR="007E6E5E">
        <w:rPr>
          <w:rFonts w:ascii="Arial" w:hAnsi="Arial" w:cs="Arial"/>
          <w:b/>
          <w:i/>
          <w:u w:val="single"/>
        </w:rPr>
        <w:t xml:space="preserve"> sobre Embandeiramento ou</w:t>
      </w:r>
      <w:r w:rsidR="00080AC7">
        <w:rPr>
          <w:rFonts w:ascii="Arial" w:hAnsi="Arial" w:cs="Arial"/>
          <w:b/>
          <w:i/>
          <w:u w:val="single"/>
        </w:rPr>
        <w:t>, no Mínimo, a sua Atenuação para Vedar a Celebração de Contratos de Exclusividade</w:t>
      </w:r>
      <w:r w:rsidR="00842161">
        <w:rPr>
          <w:rFonts w:ascii="Arial" w:hAnsi="Arial" w:cs="Arial"/>
          <w:b/>
          <w:i/>
          <w:u w:val="single"/>
        </w:rPr>
        <w:t xml:space="preserve"> ou Garantir </w:t>
      </w:r>
      <w:r w:rsidR="00892EBC">
        <w:rPr>
          <w:rFonts w:ascii="Arial" w:hAnsi="Arial" w:cs="Arial"/>
          <w:b/>
          <w:i/>
          <w:u w:val="single"/>
        </w:rPr>
        <w:t>Maior Facilidade para o Desbandeiramento</w:t>
      </w:r>
      <w:r w:rsidR="006D6069">
        <w:rPr>
          <w:rFonts w:ascii="Arial" w:hAnsi="Arial" w:cs="Arial"/>
          <w:b/>
          <w:i/>
          <w:u w:val="single"/>
        </w:rPr>
        <w:t xml:space="preserve"> (ou Migração)</w:t>
      </w:r>
      <w:r w:rsidR="00892EBC">
        <w:rPr>
          <w:rFonts w:ascii="Arial" w:hAnsi="Arial" w:cs="Arial"/>
          <w:b/>
          <w:i/>
          <w:u w:val="single"/>
        </w:rPr>
        <w:t xml:space="preserve"> de um Revendedor</w:t>
      </w:r>
      <w:r w:rsidR="00A03643" w:rsidRPr="00A03643">
        <w:rPr>
          <w:rFonts w:ascii="Arial" w:hAnsi="Arial" w:cs="Arial"/>
          <w:b/>
        </w:rPr>
        <w:t>.</w:t>
      </w:r>
    </w:p>
    <w:p w:rsidR="00A07EE3" w:rsidRDefault="00A07EE3" w:rsidP="00AC584B">
      <w:pPr>
        <w:jc w:val="both"/>
        <w:rPr>
          <w:rFonts w:ascii="Arial" w:hAnsi="Arial" w:cs="Arial"/>
        </w:rPr>
      </w:pPr>
    </w:p>
    <w:p w:rsidR="004A1428" w:rsidRDefault="00A03643" w:rsidP="00AC584B">
      <w:pPr>
        <w:jc w:val="both"/>
        <w:rPr>
          <w:rFonts w:ascii="Arial" w:hAnsi="Arial" w:cs="Arial"/>
        </w:rPr>
      </w:pPr>
      <w:r>
        <w:rPr>
          <w:rFonts w:ascii="Arial" w:hAnsi="Arial" w:cs="Arial"/>
        </w:rPr>
        <w:tab/>
      </w:r>
      <w:r w:rsidR="00A05BE1">
        <w:rPr>
          <w:rFonts w:ascii="Arial" w:hAnsi="Arial" w:cs="Arial"/>
        </w:rPr>
        <w:t xml:space="preserve">O Sindaçúcar/PE considera que, atualmente, a oferta </w:t>
      </w:r>
      <w:r w:rsidR="00992010">
        <w:rPr>
          <w:rFonts w:ascii="Arial" w:hAnsi="Arial" w:cs="Arial"/>
        </w:rPr>
        <w:t>e o consumo de etanol hidratado tê</w:t>
      </w:r>
      <w:r w:rsidR="00A05BE1">
        <w:rPr>
          <w:rFonts w:ascii="Arial" w:hAnsi="Arial" w:cs="Arial"/>
        </w:rPr>
        <w:t xml:space="preserve">m sido </w:t>
      </w:r>
      <w:r w:rsidR="00992010">
        <w:rPr>
          <w:rFonts w:ascii="Arial" w:hAnsi="Arial" w:cs="Arial"/>
        </w:rPr>
        <w:t>defini</w:t>
      </w:r>
      <w:r w:rsidR="00A05BE1">
        <w:rPr>
          <w:rFonts w:ascii="Arial" w:hAnsi="Arial" w:cs="Arial"/>
        </w:rPr>
        <w:t>dos pela política implementada pelas grandes distribuidoras de combustíve</w:t>
      </w:r>
      <w:r w:rsidR="004A1428">
        <w:rPr>
          <w:rFonts w:ascii="Arial" w:hAnsi="Arial" w:cs="Arial"/>
        </w:rPr>
        <w:t>is, as</w:t>
      </w:r>
      <w:r w:rsidR="00A05BE1">
        <w:rPr>
          <w:rFonts w:ascii="Arial" w:hAnsi="Arial" w:cs="Arial"/>
        </w:rPr>
        <w:t xml:space="preserve"> </w:t>
      </w:r>
      <w:r w:rsidR="00C2611F">
        <w:rPr>
          <w:rFonts w:ascii="Arial" w:hAnsi="Arial" w:cs="Arial"/>
        </w:rPr>
        <w:t>qu</w:t>
      </w:r>
      <w:r w:rsidR="004A1428">
        <w:rPr>
          <w:rFonts w:ascii="Arial" w:hAnsi="Arial" w:cs="Arial"/>
        </w:rPr>
        <w:t>ais</w:t>
      </w:r>
      <w:r w:rsidR="00C2611F">
        <w:rPr>
          <w:rFonts w:ascii="Arial" w:hAnsi="Arial" w:cs="Arial"/>
        </w:rPr>
        <w:t xml:space="preserve"> tê</w:t>
      </w:r>
      <w:r w:rsidR="00992010">
        <w:rPr>
          <w:rFonts w:ascii="Arial" w:hAnsi="Arial" w:cs="Arial"/>
        </w:rPr>
        <w:t>m privilegiado a gasolina C em detrimento do etanol</w:t>
      </w:r>
      <w:r w:rsidR="004A1428">
        <w:rPr>
          <w:rFonts w:ascii="Arial" w:hAnsi="Arial" w:cs="Arial"/>
        </w:rPr>
        <w:t xml:space="preserve"> hidratado</w:t>
      </w:r>
      <w:r w:rsidR="00992010">
        <w:rPr>
          <w:rFonts w:ascii="Arial" w:hAnsi="Arial" w:cs="Arial"/>
        </w:rPr>
        <w:t xml:space="preserve">. </w:t>
      </w:r>
    </w:p>
    <w:p w:rsidR="004A1428" w:rsidRDefault="004A1428" w:rsidP="00AC584B">
      <w:pPr>
        <w:jc w:val="both"/>
        <w:rPr>
          <w:rFonts w:ascii="Arial" w:hAnsi="Arial" w:cs="Arial"/>
        </w:rPr>
      </w:pPr>
    </w:p>
    <w:p w:rsidR="004F03CF" w:rsidRDefault="00992010" w:rsidP="001B2E88">
      <w:pPr>
        <w:ind w:firstLine="708"/>
        <w:jc w:val="both"/>
        <w:rPr>
          <w:rFonts w:ascii="Arial" w:hAnsi="Arial" w:cs="Arial"/>
        </w:rPr>
      </w:pPr>
      <w:r>
        <w:rPr>
          <w:rFonts w:ascii="Arial" w:hAnsi="Arial" w:cs="Arial"/>
        </w:rPr>
        <w:t>Desta forma,</w:t>
      </w:r>
      <w:r w:rsidR="00C2611F">
        <w:rPr>
          <w:rFonts w:ascii="Arial" w:hAnsi="Arial" w:cs="Arial"/>
        </w:rPr>
        <w:t xml:space="preserve"> a</w:t>
      </w:r>
      <w:r>
        <w:rPr>
          <w:rFonts w:ascii="Arial" w:hAnsi="Arial" w:cs="Arial"/>
        </w:rPr>
        <w:t xml:space="preserve"> liberação d</w:t>
      </w:r>
      <w:r w:rsidR="00E70FF8">
        <w:rPr>
          <w:rFonts w:ascii="Arial" w:hAnsi="Arial" w:cs="Arial"/>
        </w:rPr>
        <w:t xml:space="preserve">a venda direta </w:t>
      </w:r>
      <w:r w:rsidR="004A1428">
        <w:rPr>
          <w:rFonts w:ascii="Arial" w:hAnsi="Arial" w:cs="Arial"/>
        </w:rPr>
        <w:t>e o</w:t>
      </w:r>
      <w:r w:rsidR="00AA575B">
        <w:rPr>
          <w:rFonts w:ascii="Arial" w:hAnsi="Arial" w:cs="Arial"/>
        </w:rPr>
        <w:t xml:space="preserve"> fim d</w:t>
      </w:r>
      <w:r w:rsidR="004A1428">
        <w:rPr>
          <w:rFonts w:ascii="Arial" w:hAnsi="Arial" w:cs="Arial"/>
        </w:rPr>
        <w:t>a regra</w:t>
      </w:r>
      <w:r w:rsidR="00AA575B">
        <w:rPr>
          <w:rFonts w:ascii="Arial" w:hAnsi="Arial" w:cs="Arial"/>
        </w:rPr>
        <w:t xml:space="preserve"> </w:t>
      </w:r>
      <w:r w:rsidR="004A1428">
        <w:rPr>
          <w:rFonts w:ascii="Arial" w:hAnsi="Arial" w:cs="Arial"/>
        </w:rPr>
        <w:t>do e</w:t>
      </w:r>
      <w:r w:rsidR="00AA575B">
        <w:rPr>
          <w:rFonts w:ascii="Arial" w:hAnsi="Arial" w:cs="Arial"/>
        </w:rPr>
        <w:t>mbandeiramento</w:t>
      </w:r>
      <w:r w:rsidR="001B2E88">
        <w:rPr>
          <w:rFonts w:ascii="Arial" w:hAnsi="Arial" w:cs="Arial"/>
        </w:rPr>
        <w:t xml:space="preserve"> –</w:t>
      </w:r>
      <w:r w:rsidR="00AA575B">
        <w:rPr>
          <w:rFonts w:ascii="Arial" w:hAnsi="Arial" w:cs="Arial"/>
        </w:rPr>
        <w:t xml:space="preserve"> ou pelo menos </w:t>
      </w:r>
      <w:r w:rsidR="001B2E88">
        <w:rPr>
          <w:rFonts w:ascii="Arial" w:hAnsi="Arial" w:cs="Arial"/>
        </w:rPr>
        <w:t xml:space="preserve">o fim ou regulação e regulamentação </w:t>
      </w:r>
      <w:r w:rsidR="00AA575B">
        <w:rPr>
          <w:rFonts w:ascii="Arial" w:hAnsi="Arial" w:cs="Arial"/>
        </w:rPr>
        <w:t xml:space="preserve">dos </w:t>
      </w:r>
      <w:r w:rsidR="004A1428">
        <w:rPr>
          <w:rFonts w:ascii="Arial" w:hAnsi="Arial" w:cs="Arial"/>
        </w:rPr>
        <w:t>c</w:t>
      </w:r>
      <w:r w:rsidR="00AA575B">
        <w:rPr>
          <w:rFonts w:ascii="Arial" w:hAnsi="Arial" w:cs="Arial"/>
        </w:rPr>
        <w:t xml:space="preserve">ontratos de </w:t>
      </w:r>
      <w:r w:rsidR="004A1428">
        <w:rPr>
          <w:rFonts w:ascii="Arial" w:hAnsi="Arial" w:cs="Arial"/>
        </w:rPr>
        <w:t>e</w:t>
      </w:r>
      <w:r w:rsidR="00AA575B">
        <w:rPr>
          <w:rFonts w:ascii="Arial" w:hAnsi="Arial" w:cs="Arial"/>
        </w:rPr>
        <w:t>xclusividade</w:t>
      </w:r>
      <w:r w:rsidR="004A1428">
        <w:rPr>
          <w:rFonts w:ascii="Arial" w:hAnsi="Arial" w:cs="Arial"/>
        </w:rPr>
        <w:t xml:space="preserve"> celebrados entre as distribuidoras dominantes e a </w:t>
      </w:r>
      <w:r w:rsidR="004A1428">
        <w:rPr>
          <w:rFonts w:ascii="Arial" w:hAnsi="Arial" w:cs="Arial"/>
        </w:rPr>
        <w:lastRenderedPageBreak/>
        <w:t>maioria dos postos revendedores</w:t>
      </w:r>
      <w:r w:rsidR="001B2E88">
        <w:rPr>
          <w:rFonts w:ascii="Arial" w:hAnsi="Arial" w:cs="Arial"/>
        </w:rPr>
        <w:t xml:space="preserve"> –</w:t>
      </w:r>
      <w:r w:rsidR="00AA575B">
        <w:rPr>
          <w:rFonts w:ascii="Arial" w:hAnsi="Arial" w:cs="Arial"/>
        </w:rPr>
        <w:t xml:space="preserve">, </w:t>
      </w:r>
      <w:r>
        <w:rPr>
          <w:rFonts w:ascii="Arial" w:hAnsi="Arial" w:cs="Arial"/>
        </w:rPr>
        <w:t xml:space="preserve">visaria, em primeiro lugar, reduzir a influência </w:t>
      </w:r>
      <w:r w:rsidR="00365D9D">
        <w:rPr>
          <w:rFonts w:ascii="Arial" w:hAnsi="Arial" w:cs="Arial"/>
        </w:rPr>
        <w:t>das distribuidoras nesta decisão sobre qual combustível (gasolina ou etanol hidratado) deve ser comercializado e adquirido no mercado</w:t>
      </w:r>
      <w:r w:rsidR="00A11505">
        <w:rPr>
          <w:rFonts w:ascii="Arial" w:hAnsi="Arial" w:cs="Arial"/>
        </w:rPr>
        <w:t xml:space="preserve"> interno</w:t>
      </w:r>
      <w:r w:rsidR="00365D9D">
        <w:rPr>
          <w:rFonts w:ascii="Arial" w:hAnsi="Arial" w:cs="Arial"/>
        </w:rPr>
        <w:t>; em segundo, uma maior competitividade do etanol hidratado em face da gasolina C</w:t>
      </w:r>
      <w:r w:rsidR="004A1428">
        <w:rPr>
          <w:rFonts w:ascii="Arial" w:hAnsi="Arial" w:cs="Arial"/>
        </w:rPr>
        <w:t>,</w:t>
      </w:r>
      <w:r w:rsidR="00365D9D">
        <w:rPr>
          <w:rFonts w:ascii="Arial" w:hAnsi="Arial" w:cs="Arial"/>
        </w:rPr>
        <w:t xml:space="preserve"> a partir da eliminação </w:t>
      </w:r>
      <w:r w:rsidR="009D2336">
        <w:rPr>
          <w:rFonts w:ascii="Arial" w:hAnsi="Arial" w:cs="Arial"/>
        </w:rPr>
        <w:t>do intermediário nesta venda e redução dos custos e margem de lucro associados à distribuição; e, por fim, a possibilidade de uma redução no preço final d</w:t>
      </w:r>
      <w:r w:rsidR="00AA575B">
        <w:rPr>
          <w:rFonts w:ascii="Arial" w:hAnsi="Arial" w:cs="Arial"/>
        </w:rPr>
        <w:t>os</w:t>
      </w:r>
      <w:r w:rsidR="009D2336">
        <w:rPr>
          <w:rFonts w:ascii="Arial" w:hAnsi="Arial" w:cs="Arial"/>
        </w:rPr>
        <w:t xml:space="preserve"> combustív</w:t>
      </w:r>
      <w:r w:rsidR="00AA575B">
        <w:rPr>
          <w:rFonts w:ascii="Arial" w:hAnsi="Arial" w:cs="Arial"/>
        </w:rPr>
        <w:t>eis em questão</w:t>
      </w:r>
      <w:r w:rsidR="00A11505">
        <w:rPr>
          <w:rFonts w:ascii="Arial" w:hAnsi="Arial" w:cs="Arial"/>
        </w:rPr>
        <w:t>.</w:t>
      </w:r>
    </w:p>
    <w:p w:rsidR="004A1428" w:rsidRDefault="004A1428" w:rsidP="004A1428">
      <w:pPr>
        <w:ind w:firstLine="708"/>
        <w:jc w:val="both"/>
        <w:rPr>
          <w:rFonts w:ascii="Arial" w:hAnsi="Arial" w:cs="Arial"/>
        </w:rPr>
      </w:pPr>
    </w:p>
    <w:p w:rsidR="004A1428" w:rsidRDefault="004A1428" w:rsidP="004A1428">
      <w:pPr>
        <w:ind w:firstLine="708"/>
        <w:jc w:val="both"/>
        <w:rPr>
          <w:rFonts w:ascii="Arial" w:hAnsi="Arial" w:cs="Arial"/>
        </w:rPr>
      </w:pPr>
      <w:r>
        <w:rPr>
          <w:rFonts w:ascii="Arial" w:hAnsi="Arial" w:cs="Arial"/>
        </w:rPr>
        <w:t xml:space="preserve">Neste processo, é importante ressaltar </w:t>
      </w:r>
      <w:r w:rsidR="001B2E88">
        <w:rPr>
          <w:rFonts w:ascii="Arial" w:hAnsi="Arial" w:cs="Arial"/>
        </w:rPr>
        <w:t xml:space="preserve">novamente </w:t>
      </w:r>
      <w:r>
        <w:rPr>
          <w:rFonts w:ascii="Arial" w:hAnsi="Arial" w:cs="Arial"/>
        </w:rPr>
        <w:t>que a simples liberação da venda direta pode não ser suficiente para elevar a concorrência entre etanol hidratado e gasolina C, exatamente, porque, mais da metade dos postos revendedores instalados no país está sujeita à regra do embandeiramento e dos contratos de exclusividade decorrentes desta.</w:t>
      </w:r>
    </w:p>
    <w:p w:rsidR="004F03CF" w:rsidRDefault="004F03CF" w:rsidP="00AC584B">
      <w:pPr>
        <w:jc w:val="both"/>
        <w:rPr>
          <w:rFonts w:ascii="Arial" w:hAnsi="Arial" w:cs="Arial"/>
        </w:rPr>
      </w:pPr>
    </w:p>
    <w:p w:rsidR="00A03643" w:rsidRPr="00A828BA" w:rsidRDefault="004F03CF" w:rsidP="001B2E88">
      <w:pPr>
        <w:ind w:firstLine="708"/>
        <w:jc w:val="both"/>
        <w:rPr>
          <w:rFonts w:ascii="Arial" w:hAnsi="Arial" w:cs="Arial"/>
          <w:b/>
        </w:rPr>
      </w:pPr>
      <w:r>
        <w:rPr>
          <w:rFonts w:ascii="Arial" w:hAnsi="Arial" w:cs="Arial"/>
        </w:rPr>
        <w:t xml:space="preserve">Em outros termos, </w:t>
      </w:r>
      <w:r w:rsidRPr="00A11505">
        <w:rPr>
          <w:rFonts w:ascii="Arial" w:hAnsi="Arial" w:cs="Arial"/>
          <w:b/>
        </w:rPr>
        <w:t xml:space="preserve">a liberação da venda direta </w:t>
      </w:r>
      <w:r w:rsidR="00AA575B">
        <w:rPr>
          <w:rFonts w:ascii="Arial" w:hAnsi="Arial" w:cs="Arial"/>
          <w:b/>
        </w:rPr>
        <w:t xml:space="preserve">associada ao fim da regra do embandeiramento </w:t>
      </w:r>
      <w:r w:rsidR="001B2E88">
        <w:rPr>
          <w:rFonts w:ascii="Arial" w:hAnsi="Arial" w:cs="Arial"/>
          <w:b/>
        </w:rPr>
        <w:t xml:space="preserve">– </w:t>
      </w:r>
      <w:r w:rsidR="00AA575B">
        <w:rPr>
          <w:rFonts w:ascii="Arial" w:hAnsi="Arial" w:cs="Arial"/>
          <w:b/>
        </w:rPr>
        <w:t xml:space="preserve">ou, pelo menos, </w:t>
      </w:r>
      <w:r w:rsidR="001B2E88">
        <w:rPr>
          <w:rFonts w:ascii="Arial" w:hAnsi="Arial" w:cs="Arial"/>
          <w:b/>
        </w:rPr>
        <w:t xml:space="preserve">a vedação ou melhor regulação e regulamentação </w:t>
      </w:r>
      <w:r w:rsidR="00AA575B">
        <w:rPr>
          <w:rFonts w:ascii="Arial" w:hAnsi="Arial" w:cs="Arial"/>
          <w:b/>
        </w:rPr>
        <w:t>dos contratos de exclusividade</w:t>
      </w:r>
      <w:r w:rsidR="001B2E88">
        <w:rPr>
          <w:rFonts w:ascii="Arial" w:hAnsi="Arial" w:cs="Arial"/>
          <w:b/>
        </w:rPr>
        <w:t>,</w:t>
      </w:r>
      <w:r w:rsidR="00AA575B">
        <w:rPr>
          <w:rFonts w:ascii="Arial" w:hAnsi="Arial" w:cs="Arial"/>
          <w:b/>
        </w:rPr>
        <w:t xml:space="preserve"> celebrados entre as principais distribuidoras bandeiradas e </w:t>
      </w:r>
      <w:r w:rsidR="004A1428">
        <w:rPr>
          <w:rFonts w:ascii="Arial" w:hAnsi="Arial" w:cs="Arial"/>
          <w:b/>
        </w:rPr>
        <w:t>mais da</w:t>
      </w:r>
      <w:r w:rsidR="00AA575B">
        <w:rPr>
          <w:rFonts w:ascii="Arial" w:hAnsi="Arial" w:cs="Arial"/>
          <w:b/>
        </w:rPr>
        <w:t xml:space="preserve"> metade dos revendedores instalados no país</w:t>
      </w:r>
      <w:r w:rsidR="001B2E88">
        <w:rPr>
          <w:rFonts w:ascii="Arial" w:hAnsi="Arial" w:cs="Arial"/>
          <w:b/>
        </w:rPr>
        <w:t xml:space="preserve"> –</w:t>
      </w:r>
      <w:r w:rsidR="00AA575B">
        <w:rPr>
          <w:rFonts w:ascii="Arial" w:hAnsi="Arial" w:cs="Arial"/>
          <w:b/>
        </w:rPr>
        <w:t xml:space="preserve"> </w:t>
      </w:r>
      <w:r w:rsidRPr="00A11505">
        <w:rPr>
          <w:rFonts w:ascii="Arial" w:hAnsi="Arial" w:cs="Arial"/>
          <w:b/>
        </w:rPr>
        <w:t>servirá para incrementar a concorrência entre os dois combustíveis (gasolina C e etanol hidratado), assim como gerar</w:t>
      </w:r>
      <w:r w:rsidR="001B2E88">
        <w:rPr>
          <w:rFonts w:ascii="Arial" w:hAnsi="Arial" w:cs="Arial"/>
          <w:b/>
        </w:rPr>
        <w:t>á</w:t>
      </w:r>
      <w:r w:rsidRPr="00A11505">
        <w:rPr>
          <w:rFonts w:ascii="Arial" w:hAnsi="Arial" w:cs="Arial"/>
          <w:b/>
        </w:rPr>
        <w:t xml:space="preserve"> maior pressão competitiva em relação às distribuidoras, especial</w:t>
      </w:r>
      <w:r w:rsidR="00A11505">
        <w:rPr>
          <w:rFonts w:ascii="Arial" w:hAnsi="Arial" w:cs="Arial"/>
          <w:b/>
        </w:rPr>
        <w:t>mente</w:t>
      </w:r>
      <w:r w:rsidRPr="00A11505">
        <w:rPr>
          <w:rFonts w:ascii="Arial" w:hAnsi="Arial" w:cs="Arial"/>
          <w:b/>
        </w:rPr>
        <w:t xml:space="preserve"> aquelas </w:t>
      </w:r>
      <w:r w:rsidR="001B2E88">
        <w:rPr>
          <w:rFonts w:ascii="Arial" w:hAnsi="Arial" w:cs="Arial"/>
          <w:b/>
        </w:rPr>
        <w:t>“dominantes” e</w:t>
      </w:r>
      <w:r w:rsidRPr="00A11505">
        <w:rPr>
          <w:rFonts w:ascii="Arial" w:hAnsi="Arial" w:cs="Arial"/>
          <w:b/>
        </w:rPr>
        <w:t xml:space="preserve"> que detêm o controle de parcel</w:t>
      </w:r>
      <w:r w:rsidR="00A11505">
        <w:rPr>
          <w:rFonts w:ascii="Arial" w:hAnsi="Arial" w:cs="Arial"/>
          <w:b/>
        </w:rPr>
        <w:t>a</w:t>
      </w:r>
      <w:r w:rsidRPr="00A11505">
        <w:rPr>
          <w:rFonts w:ascii="Arial" w:hAnsi="Arial" w:cs="Arial"/>
          <w:b/>
        </w:rPr>
        <w:t xml:space="preserve"> considerável da oferta e demanda da gasolina C e do etanol hidratado no país</w:t>
      </w:r>
      <w:r w:rsidR="00F77EA7">
        <w:rPr>
          <w:rFonts w:ascii="Arial" w:hAnsi="Arial" w:cs="Arial"/>
          <w:b/>
        </w:rPr>
        <w:t xml:space="preserve">, para garantir preços mais baixos aos revendedores e aos clientes finais; e, ainda, maior controle sobre </w:t>
      </w:r>
      <w:r w:rsidR="001B2E88">
        <w:rPr>
          <w:rFonts w:ascii="Arial" w:hAnsi="Arial" w:cs="Arial"/>
          <w:b/>
        </w:rPr>
        <w:t xml:space="preserve">o </w:t>
      </w:r>
      <w:r w:rsidR="00F77EA7">
        <w:rPr>
          <w:rFonts w:ascii="Arial" w:hAnsi="Arial" w:cs="Arial"/>
          <w:b/>
        </w:rPr>
        <w:t>adultera</w:t>
      </w:r>
      <w:r w:rsidR="001B2E88">
        <w:rPr>
          <w:rFonts w:ascii="Arial" w:hAnsi="Arial" w:cs="Arial"/>
          <w:b/>
        </w:rPr>
        <w:t>mento de combustíveis e</w:t>
      </w:r>
      <w:r w:rsidR="00F77EA7">
        <w:rPr>
          <w:rFonts w:ascii="Arial" w:hAnsi="Arial" w:cs="Arial"/>
          <w:b/>
        </w:rPr>
        <w:t xml:space="preserve"> a sonegação de impostos</w:t>
      </w:r>
      <w:r>
        <w:rPr>
          <w:rFonts w:ascii="Arial" w:hAnsi="Arial" w:cs="Arial"/>
        </w:rPr>
        <w:t>.</w:t>
      </w:r>
    </w:p>
    <w:p w:rsidR="00F77EA7" w:rsidRDefault="00F77EA7" w:rsidP="004F03CF">
      <w:pPr>
        <w:ind w:firstLine="708"/>
        <w:jc w:val="both"/>
        <w:rPr>
          <w:rFonts w:ascii="Arial" w:hAnsi="Arial" w:cs="Arial"/>
        </w:rPr>
      </w:pPr>
    </w:p>
    <w:p w:rsidR="00F77EA7" w:rsidRDefault="00F77EA7" w:rsidP="004F03CF">
      <w:pPr>
        <w:ind w:firstLine="708"/>
        <w:jc w:val="both"/>
        <w:rPr>
          <w:rFonts w:ascii="Arial" w:hAnsi="Arial" w:cs="Arial"/>
        </w:rPr>
      </w:pPr>
      <w:r>
        <w:rPr>
          <w:rFonts w:ascii="Arial" w:hAnsi="Arial" w:cs="Arial"/>
        </w:rPr>
        <w:t>O Sindaçúcar/PE acredita</w:t>
      </w:r>
      <w:r w:rsidR="00466FB6">
        <w:rPr>
          <w:rFonts w:ascii="Arial" w:hAnsi="Arial" w:cs="Arial"/>
        </w:rPr>
        <w:t>,</w:t>
      </w:r>
      <w:r>
        <w:rPr>
          <w:rFonts w:ascii="Arial" w:hAnsi="Arial" w:cs="Arial"/>
        </w:rPr>
        <w:t xml:space="preserve"> e os dados </w:t>
      </w:r>
      <w:r w:rsidR="00B8762C">
        <w:rPr>
          <w:rFonts w:ascii="Arial" w:hAnsi="Arial" w:cs="Arial"/>
        </w:rPr>
        <w:t xml:space="preserve">empíricos </w:t>
      </w:r>
      <w:r>
        <w:rPr>
          <w:rFonts w:ascii="Arial" w:hAnsi="Arial" w:cs="Arial"/>
        </w:rPr>
        <w:t>comprovam</w:t>
      </w:r>
      <w:r w:rsidR="00466FB6">
        <w:rPr>
          <w:rFonts w:ascii="Arial" w:hAnsi="Arial" w:cs="Arial"/>
        </w:rPr>
        <w:t>,</w:t>
      </w:r>
      <w:r>
        <w:rPr>
          <w:rFonts w:ascii="Arial" w:hAnsi="Arial" w:cs="Arial"/>
        </w:rPr>
        <w:t xml:space="preserve"> que </w:t>
      </w:r>
      <w:r w:rsidR="00FA4730">
        <w:rPr>
          <w:rFonts w:ascii="Arial" w:hAnsi="Arial" w:cs="Arial"/>
        </w:rPr>
        <w:t xml:space="preserve">o modelo de embandeiramento, </w:t>
      </w:r>
      <w:r w:rsidR="00B8762C">
        <w:rPr>
          <w:rFonts w:ascii="Arial" w:hAnsi="Arial" w:cs="Arial"/>
        </w:rPr>
        <w:t>o qual</w:t>
      </w:r>
      <w:r w:rsidR="00FA4730">
        <w:rPr>
          <w:rFonts w:ascii="Arial" w:hAnsi="Arial" w:cs="Arial"/>
        </w:rPr>
        <w:t xml:space="preserve"> em tese deveria servir para garantir melhor qualidade e preço</w:t>
      </w:r>
      <w:r w:rsidR="001B2E88">
        <w:rPr>
          <w:rFonts w:ascii="Arial" w:hAnsi="Arial" w:cs="Arial"/>
        </w:rPr>
        <w:t>s mais baixos</w:t>
      </w:r>
      <w:r w:rsidR="00FA4730">
        <w:rPr>
          <w:rFonts w:ascii="Arial" w:hAnsi="Arial" w:cs="Arial"/>
        </w:rPr>
        <w:t xml:space="preserve"> aos consumidores, na realidade, </w:t>
      </w:r>
      <w:r w:rsidR="00DD7715">
        <w:rPr>
          <w:rFonts w:ascii="Arial" w:hAnsi="Arial" w:cs="Arial"/>
        </w:rPr>
        <w:t>acaba, muitas vezes, por induzir práticas de adulteração e sonegação, além de incentivar a cartelização do setor</w:t>
      </w:r>
      <w:r w:rsidR="001B2E88">
        <w:rPr>
          <w:rFonts w:ascii="Arial" w:hAnsi="Arial" w:cs="Arial"/>
        </w:rPr>
        <w:t xml:space="preserve"> e a uniformização de preços em patamares supracompetitivos</w:t>
      </w:r>
      <w:r w:rsidR="00DD7715">
        <w:rPr>
          <w:rFonts w:ascii="Arial" w:hAnsi="Arial" w:cs="Arial"/>
        </w:rPr>
        <w:t xml:space="preserve">. </w:t>
      </w:r>
    </w:p>
    <w:p w:rsidR="00DD7715" w:rsidRPr="00B8762C" w:rsidRDefault="00DD7715" w:rsidP="004F03CF">
      <w:pPr>
        <w:ind w:firstLine="708"/>
        <w:jc w:val="both"/>
        <w:rPr>
          <w:rFonts w:ascii="Arial" w:hAnsi="Arial" w:cs="Arial"/>
        </w:rPr>
      </w:pPr>
    </w:p>
    <w:p w:rsidR="00B8762C" w:rsidRDefault="00DD7715" w:rsidP="0062658E">
      <w:pPr>
        <w:ind w:firstLine="708"/>
        <w:jc w:val="both"/>
        <w:rPr>
          <w:rFonts w:ascii="Arial" w:hAnsi="Arial" w:cs="Arial"/>
        </w:rPr>
      </w:pPr>
      <w:r w:rsidRPr="00B8762C">
        <w:rPr>
          <w:rFonts w:ascii="Arial" w:hAnsi="Arial" w:cs="Arial"/>
        </w:rPr>
        <w:t xml:space="preserve">Estes incentivos devem-se mais </w:t>
      </w:r>
      <w:r w:rsidR="00840268" w:rsidRPr="00B8762C">
        <w:rPr>
          <w:rFonts w:ascii="Arial" w:hAnsi="Arial" w:cs="Arial"/>
        </w:rPr>
        <w:t xml:space="preserve">fortemente aos contratos de exclusividade celebrados entre as principais distribuidoras bandeiradas e seus revendedores. </w:t>
      </w:r>
    </w:p>
    <w:p w:rsidR="00B8762C" w:rsidRDefault="00B8762C" w:rsidP="0062658E">
      <w:pPr>
        <w:ind w:firstLine="708"/>
        <w:jc w:val="both"/>
        <w:rPr>
          <w:rFonts w:ascii="Arial" w:hAnsi="Arial" w:cs="Arial"/>
        </w:rPr>
      </w:pPr>
    </w:p>
    <w:p w:rsidR="0062658E" w:rsidRPr="00B8762C" w:rsidRDefault="00840268" w:rsidP="0062658E">
      <w:pPr>
        <w:ind w:firstLine="708"/>
        <w:jc w:val="both"/>
        <w:rPr>
          <w:rFonts w:ascii="Arial" w:hAnsi="Arial" w:cs="Arial"/>
        </w:rPr>
      </w:pPr>
      <w:r w:rsidRPr="00B8762C">
        <w:rPr>
          <w:rFonts w:ascii="Arial" w:hAnsi="Arial" w:cs="Arial"/>
        </w:rPr>
        <w:t>Como destacado pela própria Superintendência-Geral do CADE</w:t>
      </w:r>
      <w:r w:rsidR="0062658E" w:rsidRPr="00B8762C">
        <w:rPr>
          <w:rFonts w:ascii="Arial" w:hAnsi="Arial" w:cs="Arial"/>
        </w:rPr>
        <w:t>, “</w:t>
      </w:r>
      <w:r w:rsidR="00A94197" w:rsidRPr="00B8762C">
        <w:rPr>
          <w:rFonts w:ascii="Arial" w:hAnsi="Arial" w:cs="Arial"/>
          <w:i/>
        </w:rPr>
        <w:t xml:space="preserve">as grandes distribuidoras podem se valer do </w:t>
      </w:r>
      <w:r w:rsidR="00A94197" w:rsidRPr="00A828BA">
        <w:rPr>
          <w:rFonts w:ascii="Arial" w:hAnsi="Arial" w:cs="Arial"/>
          <w:b/>
          <w:i/>
        </w:rPr>
        <w:t>controle propiciado por seus contratos</w:t>
      </w:r>
      <w:r w:rsidR="00A94197" w:rsidRPr="00B8762C">
        <w:rPr>
          <w:rFonts w:ascii="Arial" w:hAnsi="Arial" w:cs="Arial"/>
          <w:i/>
        </w:rPr>
        <w:t xml:space="preserve"> de embandeiramento para </w:t>
      </w:r>
      <w:r w:rsidR="00A94197" w:rsidRPr="00B8762C">
        <w:rPr>
          <w:rFonts w:ascii="Arial" w:hAnsi="Arial" w:cs="Arial"/>
          <w:b/>
          <w:i/>
        </w:rPr>
        <w:t>reforçar substancialmente o alinhamento de incentivos já previamente existente entre a distribuição e a revenda no sentido da cartelização do mercado</w:t>
      </w:r>
      <w:r w:rsidR="00A94197" w:rsidRPr="00B8762C">
        <w:rPr>
          <w:rFonts w:ascii="Arial" w:hAnsi="Arial" w:cs="Arial"/>
          <w:i/>
        </w:rPr>
        <w:t xml:space="preserve">. A </w:t>
      </w:r>
      <w:r w:rsidR="00A94197" w:rsidRPr="00B8762C">
        <w:rPr>
          <w:rFonts w:ascii="Arial" w:hAnsi="Arial" w:cs="Arial"/>
          <w:b/>
          <w:i/>
        </w:rPr>
        <w:t>fidelização e a verticalização de fato causadas pelo embandeiramento</w:t>
      </w:r>
      <w:r w:rsidR="00A94197" w:rsidRPr="00B8762C">
        <w:rPr>
          <w:rFonts w:ascii="Arial" w:hAnsi="Arial" w:cs="Arial"/>
          <w:i/>
        </w:rPr>
        <w:t xml:space="preserve"> permitem </w:t>
      </w:r>
      <w:r w:rsidR="00A94197" w:rsidRPr="00B8762C">
        <w:rPr>
          <w:rFonts w:ascii="Arial" w:hAnsi="Arial" w:cs="Arial"/>
          <w:b/>
          <w:i/>
        </w:rPr>
        <w:t>também aumentar a fragilização dos postos e, com isso, a capacidade da distribuidora de capturar margem a jusante</w:t>
      </w:r>
      <w:r w:rsidR="0062658E" w:rsidRPr="00B8762C">
        <w:rPr>
          <w:rFonts w:ascii="Arial" w:hAnsi="Arial" w:cs="Arial"/>
          <w:b/>
        </w:rPr>
        <w:t>”</w:t>
      </w:r>
      <w:r w:rsidR="00A94197" w:rsidRPr="00B8762C">
        <w:rPr>
          <w:rFonts w:ascii="Arial" w:hAnsi="Arial" w:cs="Arial"/>
          <w:i/>
        </w:rPr>
        <w:t xml:space="preserve">. </w:t>
      </w:r>
      <w:r w:rsidR="0062658E" w:rsidRPr="00B8762C">
        <w:rPr>
          <w:rFonts w:ascii="Arial" w:hAnsi="Arial" w:cs="Arial"/>
        </w:rPr>
        <w:t>(Destacamos, p. 66 da Parecer nº 1/2017/CGAA4/SGA1/SG – SEI 0297660)</w:t>
      </w:r>
    </w:p>
    <w:p w:rsidR="0062658E" w:rsidRPr="0062658E" w:rsidRDefault="0062658E" w:rsidP="0062658E">
      <w:pPr>
        <w:jc w:val="both"/>
        <w:rPr>
          <w:rFonts w:ascii="Times New Roman" w:hAnsi="Times New Roman" w:cs="Times New Roman"/>
          <w:i/>
        </w:rPr>
      </w:pPr>
    </w:p>
    <w:p w:rsidR="00A94197" w:rsidRDefault="0062658E" w:rsidP="0062658E">
      <w:pPr>
        <w:ind w:firstLine="708"/>
        <w:jc w:val="both"/>
        <w:rPr>
          <w:rFonts w:ascii="Arial" w:hAnsi="Arial" w:cs="Arial"/>
        </w:rPr>
      </w:pPr>
      <w:r w:rsidRPr="0062658E">
        <w:rPr>
          <w:rFonts w:ascii="Arial" w:hAnsi="Arial" w:cs="Arial"/>
        </w:rPr>
        <w:t>Estes fenômenos ocorrem, ainda segundo a i. SG, em razão de “</w:t>
      </w:r>
      <w:r w:rsidR="00A94197" w:rsidRPr="0062658E">
        <w:rPr>
          <w:rFonts w:ascii="Arial" w:hAnsi="Arial" w:cs="Arial"/>
          <w:b/>
          <w:i/>
        </w:rPr>
        <w:t xml:space="preserve">algumas características dos contratos de embandeiramento que </w:t>
      </w:r>
      <w:r w:rsidR="00A94197" w:rsidRPr="0062658E">
        <w:rPr>
          <w:rFonts w:ascii="Arial" w:hAnsi="Arial" w:cs="Arial"/>
          <w:b/>
          <w:i/>
          <w:u w:val="single"/>
        </w:rPr>
        <w:t xml:space="preserve">majoram a elevada </w:t>
      </w:r>
      <w:r w:rsidR="00A94197" w:rsidRPr="0062658E">
        <w:rPr>
          <w:rFonts w:ascii="Arial" w:hAnsi="Arial" w:cs="Arial"/>
          <w:b/>
          <w:i/>
          <w:u w:val="single"/>
        </w:rPr>
        <w:lastRenderedPageBreak/>
        <w:t>assimetria</w:t>
      </w:r>
      <w:r w:rsidR="00A94197" w:rsidRPr="0062658E">
        <w:rPr>
          <w:rFonts w:ascii="Arial" w:hAnsi="Arial" w:cs="Arial"/>
          <w:b/>
        </w:rPr>
        <w:t xml:space="preserve"> </w:t>
      </w:r>
      <w:r w:rsidR="00A94197" w:rsidRPr="0062658E">
        <w:rPr>
          <w:rFonts w:ascii="Arial" w:hAnsi="Arial" w:cs="Arial"/>
          <w:b/>
          <w:i/>
        </w:rPr>
        <w:t xml:space="preserve">que caracteriza </w:t>
      </w:r>
      <w:r w:rsidR="00A94197" w:rsidRPr="0062658E">
        <w:rPr>
          <w:rFonts w:ascii="Arial" w:hAnsi="Arial" w:cs="Arial"/>
          <w:b/>
          <w:i/>
          <w:u w:val="single"/>
        </w:rPr>
        <w:t>a relação entre distribuidora e posto</w:t>
      </w:r>
      <w:r w:rsidR="00A94197" w:rsidRPr="0062658E">
        <w:rPr>
          <w:rFonts w:ascii="Arial" w:hAnsi="Arial" w:cs="Arial"/>
          <w:b/>
          <w:i/>
        </w:rPr>
        <w:t xml:space="preserve">. Com </w:t>
      </w:r>
      <w:r w:rsidR="00A94197" w:rsidRPr="0062658E">
        <w:rPr>
          <w:rFonts w:ascii="Arial" w:hAnsi="Arial" w:cs="Arial"/>
          <w:b/>
          <w:i/>
          <w:u w:val="single"/>
        </w:rPr>
        <w:t>multas de rescisão proibitivas aos postos</w:t>
      </w:r>
      <w:r w:rsidR="00A94197" w:rsidRPr="0062658E">
        <w:rPr>
          <w:rFonts w:ascii="Arial" w:hAnsi="Arial" w:cs="Arial"/>
          <w:b/>
          <w:i/>
        </w:rPr>
        <w:t xml:space="preserve">, os contratos duram, em média, de </w:t>
      </w:r>
      <w:r w:rsidR="00A94197" w:rsidRPr="0062658E">
        <w:rPr>
          <w:rFonts w:ascii="Arial" w:hAnsi="Arial" w:cs="Arial"/>
          <w:b/>
          <w:i/>
          <w:u w:val="single"/>
        </w:rPr>
        <w:t>quatro a cinco anos</w:t>
      </w:r>
      <w:r w:rsidR="00A94197" w:rsidRPr="0062658E">
        <w:rPr>
          <w:rFonts w:ascii="Arial" w:hAnsi="Arial" w:cs="Arial"/>
          <w:b/>
          <w:i/>
        </w:rPr>
        <w:t xml:space="preserve">, havendo casos em que duram até </w:t>
      </w:r>
      <w:r w:rsidR="00A94197" w:rsidRPr="0062658E">
        <w:rPr>
          <w:rFonts w:ascii="Arial" w:hAnsi="Arial" w:cs="Arial"/>
          <w:b/>
          <w:i/>
          <w:u w:val="single"/>
        </w:rPr>
        <w:t>dez anos</w:t>
      </w:r>
      <w:r w:rsidR="00A94197" w:rsidRPr="0062658E">
        <w:rPr>
          <w:rFonts w:ascii="Arial" w:hAnsi="Arial" w:cs="Arial"/>
          <w:b/>
          <w:i/>
        </w:rPr>
        <w:t xml:space="preserve">, e incluem </w:t>
      </w:r>
      <w:r w:rsidR="00A94197" w:rsidRPr="0062658E">
        <w:rPr>
          <w:rFonts w:ascii="Arial" w:hAnsi="Arial" w:cs="Arial"/>
          <w:b/>
          <w:i/>
          <w:u w:val="single"/>
        </w:rPr>
        <w:t>cláusulas de exclusividade e de volume mínimo a ser vendido pelo posto</w:t>
      </w:r>
      <w:r w:rsidR="00A94197" w:rsidRPr="0062658E">
        <w:rPr>
          <w:rFonts w:ascii="Arial" w:hAnsi="Arial" w:cs="Arial"/>
          <w:b/>
          <w:i/>
        </w:rPr>
        <w:t xml:space="preserve">. </w:t>
      </w:r>
      <w:r w:rsidR="00A94197" w:rsidRPr="0062658E">
        <w:rPr>
          <w:rFonts w:ascii="Arial" w:hAnsi="Arial" w:cs="Arial"/>
          <w:b/>
          <w:i/>
          <w:u w:val="single"/>
        </w:rPr>
        <w:t>Mas</w:t>
      </w:r>
      <w:r w:rsidR="00A94197" w:rsidRPr="0062658E">
        <w:rPr>
          <w:rFonts w:ascii="Arial" w:hAnsi="Arial" w:cs="Arial"/>
          <w:b/>
          <w:i/>
        </w:rPr>
        <w:t xml:space="preserve"> o </w:t>
      </w:r>
      <w:r w:rsidR="00A94197" w:rsidRPr="0062658E">
        <w:rPr>
          <w:rFonts w:ascii="Arial" w:hAnsi="Arial" w:cs="Arial"/>
          <w:b/>
          <w:i/>
          <w:u w:val="single"/>
        </w:rPr>
        <w:t>preço é livre</w:t>
      </w:r>
      <w:r w:rsidR="00A94197" w:rsidRPr="0062658E">
        <w:rPr>
          <w:rFonts w:ascii="Arial" w:hAnsi="Arial" w:cs="Arial"/>
          <w:b/>
          <w:i/>
        </w:rPr>
        <w:t xml:space="preserve"> – ou seja, </w:t>
      </w:r>
      <w:r w:rsidR="00A94197" w:rsidRPr="0062658E">
        <w:rPr>
          <w:rFonts w:ascii="Arial" w:hAnsi="Arial" w:cs="Arial"/>
          <w:b/>
          <w:i/>
          <w:u w:val="single"/>
        </w:rPr>
        <w:t>o posto se vê obrigado a negociar preço diuturnamente com a distribuidora sem nenhuma possibilidade de recorrer a fornecimento alternativo no mercado</w:t>
      </w:r>
      <w:r w:rsidR="00A94197" w:rsidRPr="0062658E">
        <w:rPr>
          <w:rFonts w:ascii="Arial" w:hAnsi="Arial" w:cs="Arial"/>
          <w:b/>
          <w:i/>
        </w:rPr>
        <w:t xml:space="preserve">, mesmo estando obrigado a dar vazão a um </w:t>
      </w:r>
      <w:r w:rsidR="00A94197" w:rsidRPr="0062658E">
        <w:rPr>
          <w:rFonts w:ascii="Arial" w:hAnsi="Arial" w:cs="Arial"/>
          <w:b/>
          <w:i/>
          <w:u w:val="single"/>
        </w:rPr>
        <w:t>volume mínimo</w:t>
      </w:r>
      <w:r w:rsidR="00A94197" w:rsidRPr="0062658E">
        <w:rPr>
          <w:rFonts w:ascii="Arial" w:hAnsi="Arial" w:cs="Arial"/>
          <w:b/>
          <w:i/>
        </w:rPr>
        <w:t xml:space="preserve">. Com isso, </w:t>
      </w:r>
      <w:r w:rsidR="00A94197" w:rsidRPr="0062658E">
        <w:rPr>
          <w:rFonts w:ascii="Arial" w:hAnsi="Arial" w:cs="Arial"/>
          <w:b/>
          <w:i/>
          <w:u w:val="single"/>
        </w:rPr>
        <w:t>a distribuidora pode favorecer seus postos mais ‘comportados’ e retaliar os postos desviantes de uma mesma região</w:t>
      </w:r>
      <w:r w:rsidR="00A94197" w:rsidRPr="0062658E">
        <w:rPr>
          <w:rFonts w:ascii="Arial" w:hAnsi="Arial" w:cs="Arial"/>
        </w:rPr>
        <w:t>”. (Destacamos, p. 66 da Parecer nº 1/2017/CGAA4/SGA1/SG – SEI 0297660</w:t>
      </w:r>
      <w:r w:rsidR="00A94197" w:rsidRPr="0062658E">
        <w:rPr>
          <w:rStyle w:val="Refdenotaderodap"/>
          <w:rFonts w:ascii="Arial" w:hAnsi="Arial" w:cs="Arial"/>
        </w:rPr>
        <w:footnoteReference w:id="52"/>
      </w:r>
      <w:r w:rsidR="00A94197" w:rsidRPr="0062658E">
        <w:rPr>
          <w:rFonts w:ascii="Arial" w:hAnsi="Arial" w:cs="Arial"/>
        </w:rPr>
        <w:t xml:space="preserve">) </w:t>
      </w:r>
    </w:p>
    <w:p w:rsidR="008F2D08" w:rsidRDefault="008F2D08" w:rsidP="0062658E">
      <w:pPr>
        <w:ind w:firstLine="708"/>
        <w:jc w:val="both"/>
        <w:rPr>
          <w:rFonts w:ascii="Arial" w:hAnsi="Arial" w:cs="Arial"/>
        </w:rPr>
      </w:pPr>
    </w:p>
    <w:p w:rsidR="008F2D08" w:rsidRDefault="007A4C4F" w:rsidP="0062658E">
      <w:pPr>
        <w:ind w:firstLine="708"/>
        <w:jc w:val="both"/>
        <w:rPr>
          <w:rFonts w:ascii="Arial" w:hAnsi="Arial" w:cs="Arial"/>
        </w:rPr>
      </w:pPr>
      <w:r>
        <w:rPr>
          <w:rFonts w:ascii="Arial" w:hAnsi="Arial" w:cs="Arial"/>
        </w:rPr>
        <w:t>Reiter</w:t>
      </w:r>
      <w:r w:rsidR="00815BC6">
        <w:rPr>
          <w:rFonts w:ascii="Arial" w:hAnsi="Arial" w:cs="Arial"/>
        </w:rPr>
        <w:t>a-se ainda o</w:t>
      </w:r>
      <w:r w:rsidR="004A1428">
        <w:rPr>
          <w:rFonts w:ascii="Arial" w:hAnsi="Arial" w:cs="Arial"/>
        </w:rPr>
        <w:t>s comentários e conclusões apresentados</w:t>
      </w:r>
      <w:r w:rsidR="00815BC6">
        <w:rPr>
          <w:rFonts w:ascii="Arial" w:hAnsi="Arial" w:cs="Arial"/>
        </w:rPr>
        <w:t xml:space="preserve"> </w:t>
      </w:r>
      <w:r w:rsidR="004A1428">
        <w:rPr>
          <w:rFonts w:ascii="Arial" w:hAnsi="Arial" w:cs="Arial"/>
        </w:rPr>
        <w:t>pel</w:t>
      </w:r>
      <w:r w:rsidR="00815BC6">
        <w:rPr>
          <w:rFonts w:ascii="Arial" w:hAnsi="Arial" w:cs="Arial"/>
        </w:rPr>
        <w:t xml:space="preserve">a extinta Secretaria de </w:t>
      </w:r>
      <w:r>
        <w:rPr>
          <w:rFonts w:ascii="Arial" w:hAnsi="Arial" w:cs="Arial"/>
        </w:rPr>
        <w:t xml:space="preserve">Acompanhamento Econômico </w:t>
      </w:r>
      <w:r w:rsidR="004A1428">
        <w:rPr>
          <w:rFonts w:ascii="Arial" w:hAnsi="Arial" w:cs="Arial"/>
        </w:rPr>
        <w:t>n</w:t>
      </w:r>
      <w:r>
        <w:rPr>
          <w:rFonts w:ascii="Arial" w:hAnsi="Arial" w:cs="Arial"/>
        </w:rPr>
        <w:t>as Notas Técnicas</w:t>
      </w:r>
      <w:r w:rsidR="004A1428">
        <w:rPr>
          <w:rFonts w:ascii="Arial" w:hAnsi="Arial" w:cs="Arial"/>
        </w:rPr>
        <w:t xml:space="preserve"> apresentad</w:t>
      </w:r>
      <w:r w:rsidR="005B4D49">
        <w:rPr>
          <w:rFonts w:ascii="Arial" w:hAnsi="Arial" w:cs="Arial"/>
        </w:rPr>
        <w:t>a</w:t>
      </w:r>
      <w:r w:rsidR="004A1428">
        <w:rPr>
          <w:rFonts w:ascii="Arial" w:hAnsi="Arial" w:cs="Arial"/>
        </w:rPr>
        <w:t xml:space="preserve">s quando da consulta da ANP sobre </w:t>
      </w:r>
      <w:r>
        <w:rPr>
          <w:rFonts w:ascii="Arial" w:hAnsi="Arial" w:cs="Arial"/>
        </w:rPr>
        <w:t>a regra do embandeiramento</w:t>
      </w:r>
      <w:r w:rsidR="004A1428">
        <w:rPr>
          <w:rFonts w:ascii="Arial" w:hAnsi="Arial" w:cs="Arial"/>
        </w:rPr>
        <w:t xml:space="preserve"> e da verticalização</w:t>
      </w:r>
      <w:r>
        <w:rPr>
          <w:rFonts w:ascii="Arial" w:hAnsi="Arial" w:cs="Arial"/>
        </w:rPr>
        <w:t xml:space="preserve">, dando-se destaque especial à falta de estudos mais aprofundados sobre os efeitos nocivos à concorrência decorrentes dos contratos de exclusividade, assim como à experiência internacional que, para mitigar tais efeitos, passou a regular e regulamentar </w:t>
      </w:r>
      <w:r w:rsidR="005B4D49">
        <w:rPr>
          <w:rFonts w:ascii="Arial" w:hAnsi="Arial" w:cs="Arial"/>
        </w:rPr>
        <w:t xml:space="preserve">melhor </w:t>
      </w:r>
      <w:r>
        <w:rPr>
          <w:rFonts w:ascii="Arial" w:hAnsi="Arial" w:cs="Arial"/>
        </w:rPr>
        <w:t>tais contratos</w:t>
      </w:r>
      <w:r w:rsidR="005B4D49">
        <w:rPr>
          <w:rFonts w:ascii="Arial" w:hAnsi="Arial" w:cs="Arial"/>
        </w:rPr>
        <w:t xml:space="preserve"> e suas cláusulas</w:t>
      </w:r>
      <w:r>
        <w:rPr>
          <w:rFonts w:ascii="Arial" w:hAnsi="Arial" w:cs="Arial"/>
        </w:rPr>
        <w:t xml:space="preserve">. </w:t>
      </w:r>
    </w:p>
    <w:p w:rsidR="007A4C4F" w:rsidRDefault="007A4C4F" w:rsidP="0062658E">
      <w:pPr>
        <w:ind w:firstLine="708"/>
        <w:jc w:val="both"/>
        <w:rPr>
          <w:rFonts w:ascii="Arial" w:hAnsi="Arial" w:cs="Arial"/>
        </w:rPr>
      </w:pPr>
    </w:p>
    <w:p w:rsidR="00BC2F35" w:rsidRDefault="007A4C4F" w:rsidP="0062658E">
      <w:pPr>
        <w:ind w:firstLine="708"/>
        <w:jc w:val="both"/>
        <w:rPr>
          <w:rFonts w:ascii="Arial" w:hAnsi="Arial" w:cs="Arial"/>
        </w:rPr>
      </w:pPr>
      <w:r>
        <w:rPr>
          <w:rFonts w:ascii="Arial" w:hAnsi="Arial" w:cs="Arial"/>
        </w:rPr>
        <w:t>Conforme aponta</w:t>
      </w:r>
      <w:r w:rsidR="00BC2F35">
        <w:rPr>
          <w:rFonts w:ascii="Arial" w:hAnsi="Arial" w:cs="Arial"/>
        </w:rPr>
        <w:t xml:space="preserve">do na nota </w:t>
      </w:r>
      <w:r w:rsidR="00BC2F35">
        <w:rPr>
          <w:rFonts w:ascii="Arial" w:hAnsi="Arial" w:cs="Arial"/>
        </w:rPr>
        <w:fldChar w:fldCharType="begin"/>
      </w:r>
      <w:r w:rsidR="00BC2F35">
        <w:rPr>
          <w:rFonts w:ascii="Arial" w:hAnsi="Arial" w:cs="Arial"/>
        </w:rPr>
        <w:instrText xml:space="preserve"> NOTEREF _Ref529815342 \h </w:instrText>
      </w:r>
      <w:r w:rsidR="00BC2F35">
        <w:rPr>
          <w:rFonts w:ascii="Arial" w:hAnsi="Arial" w:cs="Arial"/>
        </w:rPr>
      </w:r>
      <w:r w:rsidR="00BC2F35">
        <w:rPr>
          <w:rFonts w:ascii="Arial" w:hAnsi="Arial" w:cs="Arial"/>
        </w:rPr>
        <w:fldChar w:fldCharType="separate"/>
      </w:r>
      <w:r w:rsidR="00BC2F35">
        <w:rPr>
          <w:rFonts w:ascii="Arial" w:hAnsi="Arial" w:cs="Arial"/>
        </w:rPr>
        <w:t>31</w:t>
      </w:r>
      <w:r w:rsidR="00BC2F35">
        <w:rPr>
          <w:rFonts w:ascii="Arial" w:hAnsi="Arial" w:cs="Arial"/>
        </w:rPr>
        <w:fldChar w:fldCharType="end"/>
      </w:r>
      <w:r w:rsidR="00BC2F35">
        <w:rPr>
          <w:rFonts w:ascii="Arial" w:hAnsi="Arial" w:cs="Arial"/>
        </w:rPr>
        <w:t>, acima, “n</w:t>
      </w:r>
      <w:r w:rsidR="00BC2F35" w:rsidRPr="00BC2F35">
        <w:rPr>
          <w:rFonts w:ascii="Arial" w:hAnsi="Arial" w:cs="Arial"/>
        </w:rPr>
        <w:t xml:space="preserve">a Austrália, por exemplo, o contrato de franquia é regulado, </w:t>
      </w:r>
      <w:r w:rsidR="00BC2F35" w:rsidRPr="00BC2F35">
        <w:rPr>
          <w:rFonts w:ascii="Arial" w:hAnsi="Arial" w:cs="Arial"/>
          <w:b/>
        </w:rPr>
        <w:t>proibindo discriminação entre revendedores franqueados e revendedores de propriedade das refinarias</w:t>
      </w:r>
      <w:r w:rsidR="00BC2F35" w:rsidRPr="00BC2F35">
        <w:rPr>
          <w:rFonts w:ascii="Arial" w:hAnsi="Arial" w:cs="Arial"/>
        </w:rPr>
        <w:t xml:space="preserve">, além de obrigar o fornecimento de informações essenciais aos potencias franqueados e regras para o não rompimento por certo período, entre outras. Outras jurisdições estabelecem </w:t>
      </w:r>
      <w:r w:rsidR="00BC2F35" w:rsidRPr="00BC2F35">
        <w:rPr>
          <w:rFonts w:ascii="Arial" w:hAnsi="Arial" w:cs="Arial"/>
          <w:b/>
        </w:rPr>
        <w:t>restrições quanto à duração dos contratos de fornecimento exclusivo de combustíveis</w:t>
      </w:r>
      <w:r w:rsidR="00BC2F35" w:rsidRPr="00BC2F35">
        <w:rPr>
          <w:rFonts w:ascii="Arial" w:hAnsi="Arial" w:cs="Arial"/>
        </w:rPr>
        <w:t xml:space="preserve">, visando </w:t>
      </w:r>
      <w:r w:rsidR="00BC2F35" w:rsidRPr="00BC2F35">
        <w:rPr>
          <w:rFonts w:ascii="Arial" w:hAnsi="Arial" w:cs="Arial"/>
          <w:b/>
        </w:rPr>
        <w:t xml:space="preserve">reduzir a barreira à entrada no segmento </w:t>
      </w:r>
      <w:r w:rsidR="00BC2F35" w:rsidRPr="00BC2F35">
        <w:rPr>
          <w:rFonts w:ascii="Arial" w:hAnsi="Arial" w:cs="Arial"/>
          <w:b/>
          <w:i/>
        </w:rPr>
        <w:t>downstream</w:t>
      </w:r>
      <w:r w:rsidR="00BC2F35" w:rsidRPr="00BC2F35">
        <w:rPr>
          <w:rFonts w:ascii="Arial" w:hAnsi="Arial" w:cs="Arial"/>
          <w:i/>
        </w:rPr>
        <w:t>.</w:t>
      </w:r>
      <w:r w:rsidR="00BC2F35" w:rsidRPr="00BC2F35">
        <w:rPr>
          <w:rFonts w:ascii="Arial" w:hAnsi="Arial" w:cs="Arial"/>
        </w:rPr>
        <w:t xml:space="preserve"> </w:t>
      </w:r>
      <w:r w:rsidR="004A1428">
        <w:rPr>
          <w:rFonts w:ascii="Arial" w:hAnsi="Arial" w:cs="Arial"/>
        </w:rPr>
        <w:t>N</w:t>
      </w:r>
      <w:r w:rsidR="00BC2F35" w:rsidRPr="004A1428">
        <w:rPr>
          <w:rFonts w:ascii="Arial" w:hAnsi="Arial" w:cs="Arial"/>
        </w:rPr>
        <w:t>a</w:t>
      </w:r>
      <w:r w:rsidR="00BC2F35" w:rsidRPr="00BC2F35">
        <w:rPr>
          <w:rFonts w:ascii="Arial" w:hAnsi="Arial" w:cs="Arial"/>
          <w:b/>
        </w:rPr>
        <w:t xml:space="preserve"> Argentina</w:t>
      </w:r>
      <w:r w:rsidR="00BC2F35" w:rsidRPr="00BC2F35">
        <w:rPr>
          <w:rFonts w:ascii="Arial" w:hAnsi="Arial" w:cs="Arial"/>
        </w:rPr>
        <w:t>,</w:t>
      </w:r>
      <w:r w:rsidR="004A1428">
        <w:rPr>
          <w:rFonts w:ascii="Arial" w:hAnsi="Arial" w:cs="Arial"/>
        </w:rPr>
        <w:t xml:space="preserve"> por seu turno,</w:t>
      </w:r>
      <w:r w:rsidR="00BC2F35" w:rsidRPr="00BC2F35">
        <w:rPr>
          <w:rFonts w:ascii="Arial" w:hAnsi="Arial" w:cs="Arial"/>
        </w:rPr>
        <w:t xml:space="preserve"> </w:t>
      </w:r>
      <w:r w:rsidR="00BC2F35" w:rsidRPr="00BC2F35">
        <w:rPr>
          <w:rFonts w:ascii="Arial" w:hAnsi="Arial" w:cs="Arial"/>
          <w:b/>
        </w:rPr>
        <w:t>a legislação determina a compra, a qualquer tempo e a preço de mercado, dos equipamentos emprestados em comodato, pela distribuidora à revendedora</w:t>
      </w:r>
      <w:r w:rsidR="00BC2F35" w:rsidRPr="00BC2F35">
        <w:rPr>
          <w:rFonts w:ascii="Arial" w:hAnsi="Arial" w:cs="Arial"/>
        </w:rPr>
        <w:t xml:space="preserve">; tal dispositivo tende a </w:t>
      </w:r>
      <w:r w:rsidR="00BC2F35" w:rsidRPr="00BC2F35">
        <w:rPr>
          <w:rFonts w:ascii="Arial" w:hAnsi="Arial" w:cs="Arial"/>
          <w:b/>
        </w:rPr>
        <w:t>equilibrar a relação entre revendedores e distribuidores</w:t>
      </w:r>
      <w:r w:rsidR="00BC2F35" w:rsidRPr="00BC2F35">
        <w:rPr>
          <w:rFonts w:ascii="Arial" w:hAnsi="Arial" w:cs="Arial"/>
        </w:rPr>
        <w:t>, atribuindo a aqueles um maior poder de barganha, ao tornar mais clara a opção entre trocar de distribuidor ou mesmo virar bandeira branca (Ragazzo, 2010, p. 36</w:t>
      </w:r>
      <w:r w:rsidR="00BC2F35">
        <w:rPr>
          <w:rFonts w:ascii="Arial" w:hAnsi="Arial" w:cs="Arial"/>
        </w:rPr>
        <w:t>)”. (Destacamos)</w:t>
      </w:r>
    </w:p>
    <w:p w:rsidR="00BC2F35" w:rsidRDefault="00BC2F35" w:rsidP="0062658E">
      <w:pPr>
        <w:ind w:firstLine="708"/>
        <w:jc w:val="both"/>
        <w:rPr>
          <w:rFonts w:ascii="Arial" w:hAnsi="Arial" w:cs="Arial"/>
        </w:rPr>
      </w:pPr>
    </w:p>
    <w:p w:rsidR="00136D59" w:rsidRDefault="00BC2F35" w:rsidP="0062658E">
      <w:pPr>
        <w:ind w:firstLine="708"/>
        <w:jc w:val="both"/>
        <w:rPr>
          <w:rFonts w:ascii="Arial" w:hAnsi="Arial" w:cs="Arial"/>
        </w:rPr>
      </w:pPr>
      <w:r>
        <w:rPr>
          <w:rFonts w:ascii="Arial" w:hAnsi="Arial" w:cs="Arial"/>
        </w:rPr>
        <w:t xml:space="preserve">Como </w:t>
      </w:r>
      <w:r w:rsidR="006A6037">
        <w:rPr>
          <w:rFonts w:ascii="Arial" w:hAnsi="Arial" w:cs="Arial"/>
        </w:rPr>
        <w:t xml:space="preserve">já indicado acima, atualmente, mais de </w:t>
      </w:r>
      <w:r w:rsidR="00136D59">
        <w:rPr>
          <w:rFonts w:ascii="Arial" w:hAnsi="Arial" w:cs="Arial"/>
        </w:rPr>
        <w:t>7</w:t>
      </w:r>
      <w:r w:rsidR="006A6037">
        <w:rPr>
          <w:rFonts w:ascii="Arial" w:hAnsi="Arial" w:cs="Arial"/>
        </w:rPr>
        <w:t>0% d</w:t>
      </w:r>
      <w:r w:rsidR="004A1428">
        <w:rPr>
          <w:rFonts w:ascii="Arial" w:hAnsi="Arial" w:cs="Arial"/>
        </w:rPr>
        <w:t>a oferta de combustíveis no país encontra-se</w:t>
      </w:r>
      <w:r>
        <w:rPr>
          <w:rFonts w:ascii="Arial" w:hAnsi="Arial" w:cs="Arial"/>
        </w:rPr>
        <w:t xml:space="preserve"> </w:t>
      </w:r>
      <w:r w:rsidR="006A6037">
        <w:rPr>
          <w:rFonts w:ascii="Arial" w:hAnsi="Arial" w:cs="Arial"/>
        </w:rPr>
        <w:t>fechad</w:t>
      </w:r>
      <w:r w:rsidR="004A1428">
        <w:rPr>
          <w:rFonts w:ascii="Arial" w:hAnsi="Arial" w:cs="Arial"/>
        </w:rPr>
        <w:t>a</w:t>
      </w:r>
      <w:r w:rsidR="006A6037">
        <w:rPr>
          <w:rFonts w:ascii="Arial" w:hAnsi="Arial" w:cs="Arial"/>
        </w:rPr>
        <w:t xml:space="preserve"> por contratos de exclusividade, sendo esta prática mais comum entre as </w:t>
      </w:r>
      <w:r w:rsidR="00136D59">
        <w:rPr>
          <w:rFonts w:ascii="Arial" w:hAnsi="Arial" w:cs="Arial"/>
        </w:rPr>
        <w:t xml:space="preserve">três </w:t>
      </w:r>
      <w:r w:rsidR="006A6037">
        <w:rPr>
          <w:rFonts w:ascii="Arial" w:hAnsi="Arial" w:cs="Arial"/>
        </w:rPr>
        <w:t>principais distribuidoras</w:t>
      </w:r>
      <w:r w:rsidR="00136D59">
        <w:rPr>
          <w:rFonts w:ascii="Arial" w:hAnsi="Arial" w:cs="Arial"/>
        </w:rPr>
        <w:t xml:space="preserve"> do país que, conjuntamente, representam quase 60% da oferta total nacional. </w:t>
      </w:r>
    </w:p>
    <w:p w:rsidR="00136D59" w:rsidRDefault="00136D59" w:rsidP="0062658E">
      <w:pPr>
        <w:ind w:firstLine="708"/>
        <w:jc w:val="both"/>
        <w:rPr>
          <w:rFonts w:ascii="Arial" w:hAnsi="Arial" w:cs="Arial"/>
        </w:rPr>
      </w:pPr>
    </w:p>
    <w:p w:rsidR="007A4C4F" w:rsidRDefault="00136D59" w:rsidP="0062658E">
      <w:pPr>
        <w:ind w:firstLine="708"/>
        <w:jc w:val="both"/>
        <w:rPr>
          <w:rFonts w:ascii="Arial" w:hAnsi="Arial" w:cs="Arial"/>
        </w:rPr>
      </w:pPr>
      <w:r>
        <w:rPr>
          <w:rFonts w:ascii="Arial" w:hAnsi="Arial" w:cs="Arial"/>
        </w:rPr>
        <w:t>Com efeito, conforme destaca SOARES, SAES e PAULILLO</w:t>
      </w:r>
      <w:r>
        <w:rPr>
          <w:rStyle w:val="Refdenotaderodap"/>
          <w:rFonts w:ascii="Arial" w:hAnsi="Arial" w:cs="Arial"/>
        </w:rPr>
        <w:footnoteReference w:id="53"/>
      </w:r>
      <w:r w:rsidR="00D5125D">
        <w:rPr>
          <w:rFonts w:ascii="Arial" w:hAnsi="Arial" w:cs="Arial"/>
        </w:rPr>
        <w:t xml:space="preserve">, em 2012, </w:t>
      </w:r>
      <w:r w:rsidR="00593AD4">
        <w:rPr>
          <w:rFonts w:ascii="Arial" w:hAnsi="Arial" w:cs="Arial"/>
        </w:rPr>
        <w:t xml:space="preserve">60% de todo o volume de venda encontrava-se nas mãos das três distribuidoras </w:t>
      </w:r>
      <w:r w:rsidR="00593AD4">
        <w:rPr>
          <w:rFonts w:ascii="Arial" w:hAnsi="Arial" w:cs="Arial"/>
        </w:rPr>
        <w:lastRenderedPageBreak/>
        <w:t xml:space="preserve">“dominantes” (BR, Raízen e Ipiranga), sendo </w:t>
      </w:r>
      <w:r w:rsidR="000D7643">
        <w:rPr>
          <w:rFonts w:ascii="Arial" w:hAnsi="Arial" w:cs="Arial"/>
        </w:rPr>
        <w:t>que entre 80% e 95% do faturamento dessas distribuidoras decorria de contratos de e</w:t>
      </w:r>
      <w:r w:rsidR="004F5A31">
        <w:rPr>
          <w:rFonts w:ascii="Arial" w:hAnsi="Arial" w:cs="Arial"/>
        </w:rPr>
        <w:t>xclusividade celebrados com revendedores de sua bandeira; sendo o restante dos respectivos faturamento</w:t>
      </w:r>
      <w:r w:rsidR="00037E08">
        <w:rPr>
          <w:rFonts w:ascii="Arial" w:hAnsi="Arial" w:cs="Arial"/>
        </w:rPr>
        <w:t>s</w:t>
      </w:r>
      <w:r w:rsidR="004F5A31">
        <w:rPr>
          <w:rFonts w:ascii="Arial" w:hAnsi="Arial" w:cs="Arial"/>
        </w:rPr>
        <w:t xml:space="preserve"> obtidos com vendas realizadas a postos não bandeirados.</w:t>
      </w:r>
      <w:r w:rsidR="00D5125D">
        <w:rPr>
          <w:rFonts w:ascii="Arial" w:hAnsi="Arial" w:cs="Arial"/>
        </w:rPr>
        <w:t xml:space="preserve"> </w:t>
      </w:r>
      <w:r w:rsidR="006A6037">
        <w:rPr>
          <w:rFonts w:ascii="Arial" w:hAnsi="Arial" w:cs="Arial"/>
        </w:rPr>
        <w:t xml:space="preserve"> </w:t>
      </w:r>
    </w:p>
    <w:p w:rsidR="00037E08" w:rsidRDefault="00037E08" w:rsidP="0062658E">
      <w:pPr>
        <w:ind w:firstLine="708"/>
        <w:jc w:val="both"/>
        <w:rPr>
          <w:rFonts w:ascii="Arial" w:hAnsi="Arial" w:cs="Arial"/>
        </w:rPr>
      </w:pPr>
    </w:p>
    <w:p w:rsidR="005C7B75" w:rsidRDefault="005C7B75" w:rsidP="0062658E">
      <w:pPr>
        <w:ind w:firstLine="708"/>
        <w:jc w:val="both"/>
        <w:rPr>
          <w:rFonts w:ascii="Arial" w:hAnsi="Arial" w:cs="Arial"/>
        </w:rPr>
      </w:pPr>
      <w:r>
        <w:rPr>
          <w:rFonts w:ascii="Arial" w:hAnsi="Arial" w:cs="Arial"/>
        </w:rPr>
        <w:t xml:space="preserve">É interessante repisar que esta participação de mais de 60% das três distribuidoras “dominantes” permanece estável, conforme destacam os dados </w:t>
      </w:r>
      <w:r w:rsidR="004A1428">
        <w:rPr>
          <w:rFonts w:ascii="Arial" w:hAnsi="Arial" w:cs="Arial"/>
        </w:rPr>
        <w:t xml:space="preserve">públicos </w:t>
      </w:r>
      <w:r>
        <w:rPr>
          <w:rFonts w:ascii="Arial" w:hAnsi="Arial" w:cs="Arial"/>
        </w:rPr>
        <w:t>divulgados pela ANP e compilados na Figura 1, abaixo:</w:t>
      </w:r>
    </w:p>
    <w:p w:rsidR="005C7B75" w:rsidRDefault="005C7B75" w:rsidP="005C7B75">
      <w:pPr>
        <w:rPr>
          <w:rFonts w:ascii="Arial" w:hAnsi="Arial" w:cs="Arial"/>
        </w:rPr>
      </w:pPr>
    </w:p>
    <w:p w:rsidR="005C7B75" w:rsidRPr="00DE6088" w:rsidRDefault="005C7B75" w:rsidP="005C7B75">
      <w:pPr>
        <w:jc w:val="center"/>
        <w:rPr>
          <w:rFonts w:ascii="Arial" w:hAnsi="Arial" w:cs="Arial"/>
          <w:b/>
          <w:sz w:val="20"/>
          <w:szCs w:val="20"/>
        </w:rPr>
      </w:pPr>
      <w:r>
        <w:rPr>
          <w:rFonts w:ascii="Arial" w:hAnsi="Arial" w:cs="Arial"/>
          <w:b/>
          <w:sz w:val="20"/>
          <w:szCs w:val="20"/>
        </w:rPr>
        <w:t>Figura 1</w:t>
      </w:r>
      <w:r w:rsidRPr="00DE6088">
        <w:rPr>
          <w:rFonts w:ascii="Arial" w:hAnsi="Arial" w:cs="Arial"/>
          <w:b/>
          <w:sz w:val="20"/>
          <w:szCs w:val="20"/>
        </w:rPr>
        <w:t xml:space="preserve">: </w:t>
      </w:r>
      <w:r>
        <w:rPr>
          <w:rFonts w:ascii="Arial" w:hAnsi="Arial" w:cs="Arial"/>
          <w:b/>
          <w:sz w:val="20"/>
          <w:szCs w:val="20"/>
        </w:rPr>
        <w:t>Evolução Vendas de Gasolina C e Etanol Hidratado, no Brasil, por</w:t>
      </w:r>
    </w:p>
    <w:p w:rsidR="005C7B75" w:rsidRPr="00DE6088" w:rsidRDefault="005C7B75" w:rsidP="005C7B75">
      <w:pPr>
        <w:jc w:val="center"/>
        <w:rPr>
          <w:rFonts w:ascii="Arial" w:hAnsi="Arial" w:cs="Arial"/>
          <w:b/>
          <w:sz w:val="20"/>
          <w:szCs w:val="20"/>
        </w:rPr>
      </w:pPr>
      <w:r>
        <w:rPr>
          <w:rFonts w:ascii="Arial" w:hAnsi="Arial" w:cs="Arial"/>
          <w:b/>
          <w:sz w:val="20"/>
          <w:szCs w:val="20"/>
        </w:rPr>
        <w:t>Distribuidora</w:t>
      </w:r>
      <w:r w:rsidRPr="00DE6088">
        <w:rPr>
          <w:rFonts w:ascii="Arial" w:hAnsi="Arial" w:cs="Arial"/>
          <w:b/>
          <w:sz w:val="20"/>
          <w:szCs w:val="20"/>
        </w:rPr>
        <w:t xml:space="preserve"> </w:t>
      </w:r>
      <w:r>
        <w:rPr>
          <w:rFonts w:ascii="Arial" w:hAnsi="Arial" w:cs="Arial"/>
          <w:b/>
          <w:sz w:val="20"/>
          <w:szCs w:val="20"/>
        </w:rPr>
        <w:t>(2015</w:t>
      </w:r>
      <w:r w:rsidRPr="00DE6088">
        <w:rPr>
          <w:rFonts w:ascii="Arial" w:hAnsi="Arial" w:cs="Arial"/>
          <w:b/>
          <w:sz w:val="20"/>
          <w:szCs w:val="20"/>
        </w:rPr>
        <w:t>-2017)</w:t>
      </w:r>
    </w:p>
    <w:p w:rsidR="005C7B75" w:rsidRDefault="005C7B75" w:rsidP="005C7B75">
      <w:pPr>
        <w:jc w:val="center"/>
        <w:rPr>
          <w:rFonts w:ascii="Arial" w:hAnsi="Arial" w:cs="Arial"/>
        </w:rPr>
      </w:pPr>
      <w:r w:rsidRPr="00206F1C">
        <w:rPr>
          <w:rFonts w:ascii="Arial" w:hAnsi="Arial" w:cs="Arial"/>
          <w:noProof/>
        </w:rPr>
        <w:drawing>
          <wp:inline distT="0" distB="0" distL="0" distR="0" wp14:anchorId="2BB880BD" wp14:editId="602F9BB7">
            <wp:extent cx="5385732" cy="306387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448876" cy="3099797"/>
                    </a:xfrm>
                    <a:prstGeom prst="rect">
                      <a:avLst/>
                    </a:prstGeom>
                  </pic:spPr>
                </pic:pic>
              </a:graphicData>
            </a:graphic>
          </wp:inline>
        </w:drawing>
      </w:r>
    </w:p>
    <w:p w:rsidR="005C7B75" w:rsidRPr="002B1BFB" w:rsidRDefault="002B1BFB" w:rsidP="005C7B75">
      <w:pPr>
        <w:jc w:val="both"/>
        <w:rPr>
          <w:rFonts w:ascii="Arial" w:hAnsi="Arial" w:cs="Arial"/>
          <w:sz w:val="16"/>
          <w:szCs w:val="16"/>
        </w:rPr>
      </w:pPr>
      <w:r w:rsidRPr="002B1BFB">
        <w:rPr>
          <w:rFonts w:ascii="Arial" w:hAnsi="Arial" w:cs="Arial"/>
          <w:sz w:val="16"/>
          <w:szCs w:val="16"/>
        </w:rPr>
        <w:t>Fonte: ANP</w:t>
      </w:r>
    </w:p>
    <w:p w:rsidR="002B1BFB" w:rsidRDefault="002B1BFB" w:rsidP="005C7B75">
      <w:pPr>
        <w:jc w:val="both"/>
        <w:rPr>
          <w:rFonts w:ascii="Arial" w:hAnsi="Arial" w:cs="Arial"/>
        </w:rPr>
      </w:pPr>
    </w:p>
    <w:p w:rsidR="004A1428" w:rsidRDefault="005C7B75" w:rsidP="005C7B75">
      <w:pPr>
        <w:jc w:val="both"/>
        <w:rPr>
          <w:rFonts w:ascii="Arial" w:hAnsi="Arial" w:cs="Arial"/>
        </w:rPr>
      </w:pPr>
      <w:r>
        <w:rPr>
          <w:rFonts w:ascii="Arial" w:hAnsi="Arial" w:cs="Arial"/>
        </w:rPr>
        <w:t xml:space="preserve"> </w:t>
      </w:r>
      <w:r>
        <w:rPr>
          <w:rFonts w:ascii="Arial" w:hAnsi="Arial" w:cs="Arial"/>
        </w:rPr>
        <w:tab/>
        <w:t xml:space="preserve">Ressalte-se, </w:t>
      </w:r>
      <w:r w:rsidR="004A1428">
        <w:rPr>
          <w:rFonts w:ascii="Arial" w:hAnsi="Arial" w:cs="Arial"/>
        </w:rPr>
        <w:t>novamente</w:t>
      </w:r>
      <w:r>
        <w:rPr>
          <w:rFonts w:ascii="Arial" w:hAnsi="Arial" w:cs="Arial"/>
        </w:rPr>
        <w:t xml:space="preserve">, </w:t>
      </w:r>
      <w:r w:rsidR="004A1428">
        <w:rPr>
          <w:rFonts w:ascii="Arial" w:hAnsi="Arial" w:cs="Arial"/>
        </w:rPr>
        <w:t xml:space="preserve">que </w:t>
      </w:r>
      <w:r>
        <w:rPr>
          <w:rFonts w:ascii="Arial" w:hAnsi="Arial" w:cs="Arial"/>
        </w:rPr>
        <w:t xml:space="preserve">a grande representatividade </w:t>
      </w:r>
      <w:r w:rsidR="009858EA">
        <w:rPr>
          <w:rFonts w:ascii="Arial" w:hAnsi="Arial" w:cs="Arial"/>
        </w:rPr>
        <w:t>das três distribuidoras dominantes é ainda maior em nível local e regional</w:t>
      </w:r>
      <w:r w:rsidR="004A1428">
        <w:rPr>
          <w:rFonts w:ascii="Arial" w:hAnsi="Arial" w:cs="Arial"/>
        </w:rPr>
        <w:t>, conforme já destacado na Nota Técnica da i. SG, que sugeriu a reprovação da aquisição da Alesat pela Ipiranga</w:t>
      </w:r>
      <w:r w:rsidR="00150D93">
        <w:rPr>
          <w:rFonts w:ascii="Arial" w:hAnsi="Arial" w:cs="Arial"/>
        </w:rPr>
        <w:t xml:space="preserve">. </w:t>
      </w:r>
    </w:p>
    <w:p w:rsidR="004A1428" w:rsidRDefault="004A1428" w:rsidP="005C7B75">
      <w:pPr>
        <w:jc w:val="both"/>
        <w:rPr>
          <w:rFonts w:ascii="Arial" w:hAnsi="Arial" w:cs="Arial"/>
        </w:rPr>
      </w:pPr>
    </w:p>
    <w:p w:rsidR="00886B67" w:rsidRDefault="00150D93" w:rsidP="00886B67">
      <w:pPr>
        <w:ind w:firstLine="708"/>
        <w:jc w:val="both"/>
        <w:rPr>
          <w:rFonts w:ascii="Arial" w:hAnsi="Arial" w:cs="Arial"/>
        </w:rPr>
      </w:pPr>
      <w:r>
        <w:rPr>
          <w:rFonts w:ascii="Arial" w:hAnsi="Arial" w:cs="Arial"/>
        </w:rPr>
        <w:t xml:space="preserve">Isso ocorre porque, segundo dados levantados pela i. SG, </w:t>
      </w:r>
      <w:r w:rsidR="009858EA">
        <w:rPr>
          <w:rFonts w:ascii="Arial" w:hAnsi="Arial" w:cs="Arial"/>
        </w:rPr>
        <w:t>em 50% dos municípios brasileiros a oferta de combustíveis é controlada por uma única distribuidora, por duas ou no máximo três, normalmente aquelas dominantes.</w:t>
      </w:r>
      <w:r w:rsidR="00886B67">
        <w:rPr>
          <w:rFonts w:ascii="Arial" w:hAnsi="Arial" w:cs="Arial"/>
        </w:rPr>
        <w:t xml:space="preserve"> </w:t>
      </w:r>
      <w:r w:rsidR="009858EA">
        <w:rPr>
          <w:rFonts w:ascii="Arial" w:hAnsi="Arial" w:cs="Arial"/>
        </w:rPr>
        <w:t xml:space="preserve">Ou seja, </w:t>
      </w:r>
      <w:r w:rsidR="005D4CC8">
        <w:rPr>
          <w:rFonts w:ascii="Arial" w:hAnsi="Arial" w:cs="Arial"/>
        </w:rPr>
        <w:t>esses dados demonstram que</w:t>
      </w:r>
      <w:r w:rsidR="005B4D49">
        <w:rPr>
          <w:rFonts w:ascii="Arial" w:hAnsi="Arial" w:cs="Arial"/>
        </w:rPr>
        <w:t>,</w:t>
      </w:r>
      <w:r w:rsidR="005D4CC8">
        <w:rPr>
          <w:rFonts w:ascii="Arial" w:hAnsi="Arial" w:cs="Arial"/>
        </w:rPr>
        <w:t xml:space="preserve"> </w:t>
      </w:r>
      <w:r w:rsidR="005B4D49">
        <w:rPr>
          <w:rFonts w:ascii="Arial" w:hAnsi="Arial" w:cs="Arial"/>
        </w:rPr>
        <w:t xml:space="preserve">em </w:t>
      </w:r>
      <w:r w:rsidR="005D4CC8">
        <w:rPr>
          <w:rFonts w:ascii="Arial" w:hAnsi="Arial" w:cs="Arial"/>
        </w:rPr>
        <w:t xml:space="preserve">pelo menos </w:t>
      </w:r>
      <w:r w:rsidR="004A1428">
        <w:rPr>
          <w:rFonts w:ascii="Arial" w:hAnsi="Arial" w:cs="Arial"/>
        </w:rPr>
        <w:t xml:space="preserve">em </w:t>
      </w:r>
      <w:r w:rsidR="005D4CC8">
        <w:rPr>
          <w:rFonts w:ascii="Arial" w:hAnsi="Arial" w:cs="Arial"/>
        </w:rPr>
        <w:t>50% do</w:t>
      </w:r>
      <w:r w:rsidR="004A1428">
        <w:rPr>
          <w:rFonts w:ascii="Arial" w:hAnsi="Arial" w:cs="Arial"/>
        </w:rPr>
        <w:t>s municípios brasileiros</w:t>
      </w:r>
      <w:r w:rsidR="005B4D49">
        <w:rPr>
          <w:rFonts w:ascii="Arial" w:hAnsi="Arial" w:cs="Arial"/>
        </w:rPr>
        <w:t>,</w:t>
      </w:r>
      <w:r w:rsidR="005D4CC8">
        <w:rPr>
          <w:rFonts w:ascii="Arial" w:hAnsi="Arial" w:cs="Arial"/>
        </w:rPr>
        <w:t xml:space="preserve"> </w:t>
      </w:r>
      <w:r w:rsidR="004A1428">
        <w:rPr>
          <w:rFonts w:ascii="Arial" w:hAnsi="Arial" w:cs="Arial"/>
        </w:rPr>
        <w:t xml:space="preserve">o </w:t>
      </w:r>
      <w:r w:rsidR="005D4CC8">
        <w:rPr>
          <w:rFonts w:ascii="Arial" w:hAnsi="Arial" w:cs="Arial"/>
        </w:rPr>
        <w:t xml:space="preserve">mercado </w:t>
      </w:r>
      <w:r w:rsidR="004A1428">
        <w:rPr>
          <w:rFonts w:ascii="Arial" w:hAnsi="Arial" w:cs="Arial"/>
        </w:rPr>
        <w:t xml:space="preserve">de </w:t>
      </w:r>
      <w:r w:rsidR="005D4CC8">
        <w:rPr>
          <w:rFonts w:ascii="Arial" w:hAnsi="Arial" w:cs="Arial"/>
        </w:rPr>
        <w:t>revend</w:t>
      </w:r>
      <w:r w:rsidR="004A1428">
        <w:rPr>
          <w:rFonts w:ascii="Arial" w:hAnsi="Arial" w:cs="Arial"/>
        </w:rPr>
        <w:t>a</w:t>
      </w:r>
      <w:r w:rsidR="005D4CC8">
        <w:rPr>
          <w:rFonts w:ascii="Arial" w:hAnsi="Arial" w:cs="Arial"/>
        </w:rPr>
        <w:t xml:space="preserve"> </w:t>
      </w:r>
      <w:r w:rsidR="004A1428">
        <w:rPr>
          <w:rFonts w:ascii="Arial" w:hAnsi="Arial" w:cs="Arial"/>
        </w:rPr>
        <w:t xml:space="preserve">de </w:t>
      </w:r>
      <w:r w:rsidR="005D4CC8">
        <w:rPr>
          <w:rFonts w:ascii="Arial" w:hAnsi="Arial" w:cs="Arial"/>
        </w:rPr>
        <w:t>combustível encontra-se fechado e controlado por apenas três distribuidoras</w:t>
      </w:r>
      <w:r w:rsidR="00886B67">
        <w:rPr>
          <w:rFonts w:ascii="Arial" w:hAnsi="Arial" w:cs="Arial"/>
        </w:rPr>
        <w:t xml:space="preserve">. </w:t>
      </w:r>
    </w:p>
    <w:p w:rsidR="00886B67" w:rsidRDefault="00886B67" w:rsidP="005C7B75">
      <w:pPr>
        <w:jc w:val="both"/>
        <w:rPr>
          <w:rFonts w:ascii="Arial" w:hAnsi="Arial" w:cs="Arial"/>
        </w:rPr>
      </w:pPr>
    </w:p>
    <w:p w:rsidR="005C7B75" w:rsidRDefault="00886B67" w:rsidP="005C7B75">
      <w:pPr>
        <w:jc w:val="both"/>
        <w:rPr>
          <w:rFonts w:ascii="Arial" w:hAnsi="Arial" w:cs="Arial"/>
        </w:rPr>
      </w:pPr>
      <w:r>
        <w:rPr>
          <w:rFonts w:ascii="Arial" w:hAnsi="Arial" w:cs="Arial"/>
        </w:rPr>
        <w:t xml:space="preserve"> </w:t>
      </w:r>
      <w:r>
        <w:rPr>
          <w:rFonts w:ascii="Arial" w:hAnsi="Arial" w:cs="Arial"/>
        </w:rPr>
        <w:tab/>
        <w:t xml:space="preserve">Este dado, por si só, já </w:t>
      </w:r>
      <w:r w:rsidR="00842161">
        <w:rPr>
          <w:rFonts w:ascii="Arial" w:hAnsi="Arial" w:cs="Arial"/>
        </w:rPr>
        <w:t>justifica</w:t>
      </w:r>
      <w:r>
        <w:rPr>
          <w:rFonts w:ascii="Arial" w:hAnsi="Arial" w:cs="Arial"/>
        </w:rPr>
        <w:t>ria</w:t>
      </w:r>
      <w:r w:rsidR="00842161">
        <w:rPr>
          <w:rFonts w:ascii="Arial" w:hAnsi="Arial" w:cs="Arial"/>
        </w:rPr>
        <w:t xml:space="preserve"> </w:t>
      </w:r>
      <w:r w:rsidR="005B4D49">
        <w:rPr>
          <w:rFonts w:ascii="Arial" w:hAnsi="Arial" w:cs="Arial"/>
        </w:rPr>
        <w:t>a vedação – ou pelo menos um</w:t>
      </w:r>
      <w:r w:rsidR="00842161">
        <w:rPr>
          <w:rFonts w:ascii="Arial" w:hAnsi="Arial" w:cs="Arial"/>
        </w:rPr>
        <w:t xml:space="preserve"> maior controle e regulação por parte da ANP</w:t>
      </w:r>
      <w:r w:rsidR="005B4D49">
        <w:rPr>
          <w:rFonts w:ascii="Arial" w:hAnsi="Arial" w:cs="Arial"/>
        </w:rPr>
        <w:t xml:space="preserve"> – aos contratos de exclusividade. Reitera-se, nesse sentido, as</w:t>
      </w:r>
      <w:r w:rsidR="00842161">
        <w:rPr>
          <w:rFonts w:ascii="Arial" w:hAnsi="Arial" w:cs="Arial"/>
        </w:rPr>
        <w:t xml:space="preserve"> competências precípuas </w:t>
      </w:r>
      <w:r w:rsidR="005B4D49">
        <w:rPr>
          <w:rFonts w:ascii="Arial" w:hAnsi="Arial" w:cs="Arial"/>
        </w:rPr>
        <w:t xml:space="preserve">desta agência, </w:t>
      </w:r>
      <w:r w:rsidR="00842161">
        <w:rPr>
          <w:rFonts w:ascii="Arial" w:hAnsi="Arial" w:cs="Arial"/>
        </w:rPr>
        <w:t xml:space="preserve">conferidas pela Lei do Petróleo, </w:t>
      </w:r>
      <w:r w:rsidR="005B4D49">
        <w:rPr>
          <w:rFonts w:ascii="Arial" w:hAnsi="Arial" w:cs="Arial"/>
        </w:rPr>
        <w:t>de</w:t>
      </w:r>
      <w:r w:rsidR="00842161">
        <w:rPr>
          <w:rFonts w:ascii="Arial" w:hAnsi="Arial" w:cs="Arial"/>
        </w:rPr>
        <w:t xml:space="preserve"> assegurar a livre concorrência, </w:t>
      </w:r>
      <w:r>
        <w:rPr>
          <w:rFonts w:ascii="Arial" w:hAnsi="Arial" w:cs="Arial"/>
        </w:rPr>
        <w:t xml:space="preserve">o </w:t>
      </w:r>
      <w:r w:rsidR="00842161">
        <w:rPr>
          <w:rFonts w:ascii="Arial" w:hAnsi="Arial" w:cs="Arial"/>
        </w:rPr>
        <w:t xml:space="preserve">pleno abastecimento e </w:t>
      </w:r>
      <w:r>
        <w:rPr>
          <w:rFonts w:ascii="Arial" w:hAnsi="Arial" w:cs="Arial"/>
        </w:rPr>
        <w:t xml:space="preserve">a </w:t>
      </w:r>
      <w:r w:rsidR="00842161">
        <w:rPr>
          <w:rFonts w:ascii="Arial" w:hAnsi="Arial" w:cs="Arial"/>
        </w:rPr>
        <w:t>qualidade dos combustíveis ofertados no país</w:t>
      </w:r>
      <w:r w:rsidR="005D4CC8">
        <w:rPr>
          <w:rFonts w:ascii="Arial" w:hAnsi="Arial" w:cs="Arial"/>
        </w:rPr>
        <w:t>.</w:t>
      </w:r>
      <w:r w:rsidR="005C7B75">
        <w:rPr>
          <w:rFonts w:ascii="Arial" w:hAnsi="Arial" w:cs="Arial"/>
        </w:rPr>
        <w:t xml:space="preserve"> </w:t>
      </w:r>
    </w:p>
    <w:p w:rsidR="008257D5" w:rsidRDefault="008257D5" w:rsidP="005C7B75">
      <w:pPr>
        <w:jc w:val="both"/>
        <w:rPr>
          <w:rFonts w:ascii="Arial" w:hAnsi="Arial" w:cs="Arial"/>
        </w:rPr>
      </w:pPr>
    </w:p>
    <w:p w:rsidR="005B4D49" w:rsidRDefault="008257D5" w:rsidP="005C7B75">
      <w:pPr>
        <w:jc w:val="both"/>
        <w:rPr>
          <w:rFonts w:ascii="Arial" w:hAnsi="Arial" w:cs="Arial"/>
        </w:rPr>
      </w:pPr>
      <w:r>
        <w:rPr>
          <w:rFonts w:ascii="Arial" w:hAnsi="Arial" w:cs="Arial"/>
        </w:rPr>
        <w:tab/>
        <w:t>Os longos prazos desses contratos (normalmente superiores a 5 anos, segundo a i. SG), assim como os acordos de comodato de equipamentos são outr</w:t>
      </w:r>
      <w:r w:rsidR="0026676F">
        <w:rPr>
          <w:rFonts w:ascii="Arial" w:hAnsi="Arial" w:cs="Arial"/>
        </w:rPr>
        <w:t xml:space="preserve">os problemas criados pelos acordos de exclusividade celebrados pelas distribuidoras “dominantes”, </w:t>
      </w:r>
      <w:r w:rsidR="00B963FC">
        <w:rPr>
          <w:rFonts w:ascii="Arial" w:hAnsi="Arial" w:cs="Arial"/>
        </w:rPr>
        <w:t>conforme já destacado pelas i. SG e SEAE</w:t>
      </w:r>
      <w:r w:rsidR="005B4D49">
        <w:rPr>
          <w:rFonts w:ascii="Arial" w:hAnsi="Arial" w:cs="Arial"/>
        </w:rPr>
        <w:t>, e que merecem ser, pelo menos, regulados por esta agência</w:t>
      </w:r>
      <w:r w:rsidR="00B963FC">
        <w:rPr>
          <w:rFonts w:ascii="Arial" w:hAnsi="Arial" w:cs="Arial"/>
        </w:rPr>
        <w:t>.</w:t>
      </w:r>
    </w:p>
    <w:p w:rsidR="005B4D49" w:rsidRDefault="005B4D49" w:rsidP="005C7B75">
      <w:pPr>
        <w:jc w:val="both"/>
        <w:rPr>
          <w:rFonts w:ascii="Arial" w:hAnsi="Arial" w:cs="Arial"/>
        </w:rPr>
      </w:pPr>
    </w:p>
    <w:p w:rsidR="00F80905" w:rsidRDefault="00B963FC" w:rsidP="00A828BA">
      <w:pPr>
        <w:ind w:firstLine="708"/>
        <w:jc w:val="both"/>
        <w:rPr>
          <w:rFonts w:ascii="Arial" w:hAnsi="Arial" w:cs="Arial"/>
        </w:rPr>
      </w:pPr>
      <w:r>
        <w:rPr>
          <w:rFonts w:ascii="Arial" w:hAnsi="Arial" w:cs="Arial"/>
        </w:rPr>
        <w:t>R</w:t>
      </w:r>
      <w:r w:rsidR="0026676F">
        <w:rPr>
          <w:rFonts w:ascii="Arial" w:hAnsi="Arial" w:cs="Arial"/>
        </w:rPr>
        <w:t>epita-se,</w:t>
      </w:r>
      <w:r>
        <w:rPr>
          <w:rFonts w:ascii="Arial" w:hAnsi="Arial" w:cs="Arial"/>
        </w:rPr>
        <w:t xml:space="preserve"> ainda, que esses contratos</w:t>
      </w:r>
      <w:r w:rsidR="0026676F">
        <w:rPr>
          <w:rFonts w:ascii="Arial" w:hAnsi="Arial" w:cs="Arial"/>
        </w:rPr>
        <w:t xml:space="preserve"> nada </w:t>
      </w:r>
      <w:r>
        <w:rPr>
          <w:rFonts w:ascii="Arial" w:hAnsi="Arial" w:cs="Arial"/>
        </w:rPr>
        <w:t xml:space="preserve">têm a ver com a regra de embandeiramento estabelecida pela ANP, sendo </w:t>
      </w:r>
      <w:r w:rsidR="00FF39F6">
        <w:rPr>
          <w:rFonts w:ascii="Arial" w:hAnsi="Arial" w:cs="Arial"/>
        </w:rPr>
        <w:t xml:space="preserve">impostos aos revendedores pelas distribuidoras, na medida em que há uma crença </w:t>
      </w:r>
      <w:r w:rsidR="00F80905">
        <w:rPr>
          <w:rFonts w:ascii="Arial" w:hAnsi="Arial" w:cs="Arial"/>
        </w:rPr>
        <w:t xml:space="preserve">dos consumidores </w:t>
      </w:r>
      <w:r w:rsidR="00FF39F6">
        <w:rPr>
          <w:rFonts w:ascii="Arial" w:hAnsi="Arial" w:cs="Arial"/>
        </w:rPr>
        <w:t xml:space="preserve">– desenvolvida pelo </w:t>
      </w:r>
      <w:r w:rsidR="00FF39F6">
        <w:rPr>
          <w:rFonts w:ascii="Arial" w:hAnsi="Arial" w:cs="Arial"/>
          <w:i/>
        </w:rPr>
        <w:t xml:space="preserve">marketing </w:t>
      </w:r>
      <w:r w:rsidR="00FF39F6">
        <w:rPr>
          <w:rFonts w:ascii="Arial" w:hAnsi="Arial" w:cs="Arial"/>
        </w:rPr>
        <w:t xml:space="preserve">das distribuidoras bandeiradas e não desmistificada pela ANP </w:t>
      </w:r>
      <w:r w:rsidR="00F80905">
        <w:rPr>
          <w:rFonts w:ascii="Arial" w:hAnsi="Arial" w:cs="Arial"/>
        </w:rPr>
        <w:t>– de que postos bandeirados comercializam combustíveis com qualidade e aqueles não-bandeirados não.</w:t>
      </w:r>
    </w:p>
    <w:p w:rsidR="00F80905" w:rsidRDefault="00F80905" w:rsidP="005C7B75">
      <w:pPr>
        <w:jc w:val="both"/>
        <w:rPr>
          <w:rFonts w:ascii="Arial" w:hAnsi="Arial" w:cs="Arial"/>
        </w:rPr>
      </w:pPr>
    </w:p>
    <w:p w:rsidR="001B74AF" w:rsidRDefault="00F80905" w:rsidP="005C7B75">
      <w:pPr>
        <w:jc w:val="both"/>
        <w:rPr>
          <w:rFonts w:ascii="Arial" w:hAnsi="Arial" w:cs="Arial"/>
        </w:rPr>
      </w:pPr>
      <w:r>
        <w:rPr>
          <w:rFonts w:ascii="Arial" w:hAnsi="Arial" w:cs="Arial"/>
        </w:rPr>
        <w:tab/>
      </w:r>
      <w:r w:rsidR="00F5483B">
        <w:rPr>
          <w:rFonts w:ascii="Arial" w:hAnsi="Arial" w:cs="Arial"/>
        </w:rPr>
        <w:t>Os dados empíricos divulgados pela ANP</w:t>
      </w:r>
      <w:r w:rsidR="001B74AF">
        <w:rPr>
          <w:rFonts w:ascii="Arial" w:hAnsi="Arial" w:cs="Arial"/>
        </w:rPr>
        <w:t xml:space="preserve"> sobre autuações </w:t>
      </w:r>
      <w:r w:rsidR="005B4D49">
        <w:rPr>
          <w:rFonts w:ascii="Arial" w:hAnsi="Arial" w:cs="Arial"/>
        </w:rPr>
        <w:t xml:space="preserve">de postos revendedores </w:t>
      </w:r>
      <w:r w:rsidR="001B74AF">
        <w:rPr>
          <w:rFonts w:ascii="Arial" w:hAnsi="Arial" w:cs="Arial"/>
        </w:rPr>
        <w:t>por problemas de qualidade</w:t>
      </w:r>
      <w:r w:rsidR="00886B67">
        <w:rPr>
          <w:rFonts w:ascii="Arial" w:hAnsi="Arial" w:cs="Arial"/>
        </w:rPr>
        <w:t xml:space="preserve"> – </w:t>
      </w:r>
      <w:r w:rsidR="00F5483B">
        <w:rPr>
          <w:rFonts w:ascii="Arial" w:hAnsi="Arial" w:cs="Arial"/>
        </w:rPr>
        <w:t>porém desconhecidos do grande público (i.e., dos consumidores)</w:t>
      </w:r>
      <w:r w:rsidR="00886B67">
        <w:rPr>
          <w:rFonts w:ascii="Arial" w:hAnsi="Arial" w:cs="Arial"/>
        </w:rPr>
        <w:t xml:space="preserve">, </w:t>
      </w:r>
      <w:r w:rsidR="00F5483B">
        <w:rPr>
          <w:rFonts w:ascii="Arial" w:hAnsi="Arial" w:cs="Arial"/>
        </w:rPr>
        <w:t xml:space="preserve">assim como </w:t>
      </w:r>
      <w:r w:rsidR="005B4D49">
        <w:rPr>
          <w:rFonts w:ascii="Arial" w:hAnsi="Arial" w:cs="Arial"/>
        </w:rPr>
        <w:t xml:space="preserve">é </w:t>
      </w:r>
      <w:r w:rsidR="00F5483B">
        <w:rPr>
          <w:rFonts w:ascii="Arial" w:hAnsi="Arial" w:cs="Arial"/>
        </w:rPr>
        <w:t xml:space="preserve">direito </w:t>
      </w:r>
      <w:r w:rsidR="005B4D49">
        <w:rPr>
          <w:rFonts w:ascii="Arial" w:hAnsi="Arial" w:cs="Arial"/>
        </w:rPr>
        <w:t xml:space="preserve">dos consumidores </w:t>
      </w:r>
      <w:r w:rsidR="00F5483B">
        <w:rPr>
          <w:rFonts w:ascii="Arial" w:hAnsi="Arial" w:cs="Arial"/>
        </w:rPr>
        <w:t xml:space="preserve">exigir do revendedor a demonstração da qualidade do combustível que está adquirindo – </w:t>
      </w:r>
      <w:r w:rsidR="001B74AF">
        <w:rPr>
          <w:rFonts w:ascii="Arial" w:hAnsi="Arial" w:cs="Arial"/>
        </w:rPr>
        <w:t xml:space="preserve">demonstram, por exemplo, que </w:t>
      </w:r>
      <w:r w:rsidR="001B74AF" w:rsidRPr="00A828BA">
        <w:rPr>
          <w:rFonts w:ascii="Arial" w:hAnsi="Arial" w:cs="Arial"/>
          <w:b/>
        </w:rPr>
        <w:t>o número de postos bandeirados autuados é muito próximo daquele de não-bandeirados</w:t>
      </w:r>
      <w:r w:rsidR="00A36190">
        <w:rPr>
          <w:rFonts w:ascii="Arial" w:hAnsi="Arial" w:cs="Arial"/>
        </w:rPr>
        <w:t>,</w:t>
      </w:r>
      <w:r w:rsidR="001B74AF">
        <w:rPr>
          <w:rFonts w:ascii="Arial" w:hAnsi="Arial" w:cs="Arial"/>
        </w:rPr>
        <w:t xml:space="preserve"> conforme destacam os dados compilados na Figura 2, abaixo: </w:t>
      </w:r>
    </w:p>
    <w:p w:rsidR="00886B67" w:rsidRDefault="00886B67" w:rsidP="005C7B75">
      <w:pPr>
        <w:jc w:val="both"/>
        <w:rPr>
          <w:rFonts w:ascii="Arial" w:hAnsi="Arial" w:cs="Arial"/>
        </w:rPr>
      </w:pPr>
    </w:p>
    <w:p w:rsidR="00B963FC" w:rsidRPr="002B1BFB" w:rsidRDefault="002B1BFB" w:rsidP="002B1BFB">
      <w:pPr>
        <w:jc w:val="center"/>
        <w:rPr>
          <w:rFonts w:ascii="Arial" w:hAnsi="Arial" w:cs="Arial"/>
          <w:b/>
          <w:sz w:val="20"/>
          <w:szCs w:val="20"/>
        </w:rPr>
      </w:pPr>
      <w:r w:rsidRPr="002B1BFB">
        <w:rPr>
          <w:rFonts w:ascii="Arial" w:hAnsi="Arial" w:cs="Arial"/>
          <w:b/>
          <w:sz w:val="20"/>
          <w:szCs w:val="20"/>
        </w:rPr>
        <w:t>Figura 2: Relação de Atuações por Irregularidades de Qualidade</w:t>
      </w:r>
    </w:p>
    <w:p w:rsidR="002B1BFB" w:rsidRPr="002B1BFB" w:rsidRDefault="002B1BFB" w:rsidP="002B1BFB">
      <w:pPr>
        <w:jc w:val="center"/>
        <w:rPr>
          <w:rFonts w:ascii="Arial" w:hAnsi="Arial" w:cs="Arial"/>
          <w:sz w:val="20"/>
          <w:szCs w:val="20"/>
        </w:rPr>
      </w:pPr>
    </w:p>
    <w:p w:rsidR="00B963FC" w:rsidRDefault="002B1BFB" w:rsidP="005C7B75">
      <w:pPr>
        <w:jc w:val="both"/>
        <w:rPr>
          <w:rFonts w:ascii="Arial" w:hAnsi="Arial" w:cs="Arial"/>
        </w:rPr>
      </w:pPr>
      <w:r w:rsidRPr="002B1BFB">
        <w:rPr>
          <w:rFonts w:ascii="Arial" w:hAnsi="Arial" w:cs="Arial"/>
          <w:noProof/>
        </w:rPr>
        <w:drawing>
          <wp:inline distT="0" distB="0" distL="0" distR="0" wp14:anchorId="75954D18" wp14:editId="54DDFC76">
            <wp:extent cx="5396230" cy="1215414"/>
            <wp:effectExtent l="0" t="0" r="1270" b="381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01629" cy="1216630"/>
                    </a:xfrm>
                    <a:prstGeom prst="rect">
                      <a:avLst/>
                    </a:prstGeom>
                  </pic:spPr>
                </pic:pic>
              </a:graphicData>
            </a:graphic>
          </wp:inline>
        </w:drawing>
      </w:r>
    </w:p>
    <w:p w:rsidR="008257D5" w:rsidRPr="002B1BFB" w:rsidRDefault="008257D5" w:rsidP="005C7B75">
      <w:pPr>
        <w:jc w:val="both"/>
        <w:rPr>
          <w:rFonts w:ascii="Arial" w:hAnsi="Arial" w:cs="Arial"/>
          <w:sz w:val="16"/>
          <w:szCs w:val="16"/>
        </w:rPr>
      </w:pPr>
      <w:r w:rsidRPr="002B1BFB">
        <w:rPr>
          <w:rFonts w:ascii="Arial" w:hAnsi="Arial" w:cs="Arial"/>
          <w:sz w:val="16"/>
          <w:szCs w:val="16"/>
        </w:rPr>
        <w:t xml:space="preserve"> </w:t>
      </w:r>
      <w:r w:rsidR="002B1BFB" w:rsidRPr="002B1BFB">
        <w:rPr>
          <w:rFonts w:ascii="Arial" w:hAnsi="Arial" w:cs="Arial"/>
          <w:sz w:val="16"/>
          <w:szCs w:val="16"/>
        </w:rPr>
        <w:t>Fonte: ANP</w:t>
      </w:r>
    </w:p>
    <w:p w:rsidR="005B4D49" w:rsidRDefault="005B4D49" w:rsidP="0062658E">
      <w:pPr>
        <w:ind w:firstLine="708"/>
        <w:jc w:val="both"/>
        <w:rPr>
          <w:rFonts w:ascii="Arial" w:hAnsi="Arial" w:cs="Arial"/>
        </w:rPr>
      </w:pPr>
    </w:p>
    <w:p w:rsidR="005B4D49" w:rsidRDefault="005B4D49" w:rsidP="0062658E">
      <w:pPr>
        <w:ind w:firstLine="708"/>
        <w:jc w:val="both"/>
        <w:rPr>
          <w:rFonts w:ascii="Arial" w:hAnsi="Arial" w:cs="Arial"/>
        </w:rPr>
      </w:pPr>
      <w:r>
        <w:rPr>
          <w:rFonts w:ascii="Arial" w:hAnsi="Arial" w:cs="Arial"/>
        </w:rPr>
        <w:t>Os dados apresentados nesta Figura 2 também mostram ser o número de postos autuados relativamente baixo. Isso significa dizer que, como regra, a maciça maioria dos postos fiscalizados comercializa combustível de boa qualidade. Esta conclusão também é válida, mesmo ao considerarmos o número total de postos revendedores instalados no país.</w:t>
      </w:r>
    </w:p>
    <w:p w:rsidR="005B4D49" w:rsidRDefault="005B4D49" w:rsidP="0062658E">
      <w:pPr>
        <w:ind w:firstLine="708"/>
        <w:jc w:val="both"/>
        <w:rPr>
          <w:rFonts w:ascii="Arial" w:hAnsi="Arial" w:cs="Arial"/>
        </w:rPr>
      </w:pPr>
    </w:p>
    <w:p w:rsidR="00886B67" w:rsidRDefault="00886B67" w:rsidP="0062658E">
      <w:pPr>
        <w:ind w:firstLine="708"/>
        <w:jc w:val="both"/>
        <w:rPr>
          <w:rFonts w:ascii="Arial" w:hAnsi="Arial" w:cs="Arial"/>
        </w:rPr>
      </w:pPr>
      <w:r>
        <w:rPr>
          <w:rFonts w:ascii="Arial" w:hAnsi="Arial" w:cs="Arial"/>
        </w:rPr>
        <w:t>Especificamente em relação aos efeitos deletérios à concorrência decorrentes d</w:t>
      </w:r>
      <w:r w:rsidR="005B4D49">
        <w:rPr>
          <w:rFonts w:ascii="Arial" w:hAnsi="Arial" w:cs="Arial"/>
        </w:rPr>
        <w:t>a</w:t>
      </w:r>
      <w:r>
        <w:rPr>
          <w:rFonts w:ascii="Arial" w:hAnsi="Arial" w:cs="Arial"/>
        </w:rPr>
        <w:t xml:space="preserve"> exclusividade e associados à discriminação de preços</w:t>
      </w:r>
      <w:r w:rsidR="005B4D49">
        <w:rPr>
          <w:rFonts w:ascii="Arial" w:hAnsi="Arial" w:cs="Arial"/>
        </w:rPr>
        <w:t>,</w:t>
      </w:r>
      <w:r>
        <w:rPr>
          <w:rFonts w:ascii="Arial" w:hAnsi="Arial" w:cs="Arial"/>
        </w:rPr>
        <w:t xml:space="preserve"> os dados de preço de venda e compra divulgados pela ANP</w:t>
      </w:r>
      <w:r w:rsidR="009D0630">
        <w:rPr>
          <w:rStyle w:val="Refdenotaderodap"/>
          <w:rFonts w:ascii="Arial" w:hAnsi="Arial" w:cs="Arial"/>
        </w:rPr>
        <w:footnoteReference w:id="54"/>
      </w:r>
      <w:r>
        <w:rPr>
          <w:rFonts w:ascii="Arial" w:hAnsi="Arial" w:cs="Arial"/>
        </w:rPr>
        <w:t xml:space="preserve"> mostram, de forma, cabal </w:t>
      </w:r>
      <w:r w:rsidR="005B4D49">
        <w:rPr>
          <w:rFonts w:ascii="Arial" w:hAnsi="Arial" w:cs="Arial"/>
        </w:rPr>
        <w:t xml:space="preserve">a existência desta </w:t>
      </w:r>
      <w:r>
        <w:rPr>
          <w:rFonts w:ascii="Arial" w:hAnsi="Arial" w:cs="Arial"/>
        </w:rPr>
        <w:t xml:space="preserve">prática. </w:t>
      </w:r>
    </w:p>
    <w:p w:rsidR="00886B67" w:rsidRDefault="00886B67" w:rsidP="0062658E">
      <w:pPr>
        <w:ind w:firstLine="708"/>
        <w:jc w:val="both"/>
        <w:rPr>
          <w:rFonts w:ascii="Arial" w:hAnsi="Arial" w:cs="Arial"/>
        </w:rPr>
      </w:pPr>
    </w:p>
    <w:p w:rsidR="009D0630" w:rsidRDefault="009D0630" w:rsidP="0062658E">
      <w:pPr>
        <w:ind w:firstLine="708"/>
        <w:jc w:val="both"/>
        <w:rPr>
          <w:rFonts w:ascii="Arial" w:hAnsi="Arial" w:cs="Arial"/>
        </w:rPr>
      </w:pPr>
      <w:r>
        <w:rPr>
          <w:rFonts w:ascii="Arial" w:hAnsi="Arial" w:cs="Arial"/>
        </w:rPr>
        <w:t xml:space="preserve">Nesse contexto, </w:t>
      </w:r>
      <w:r w:rsidR="00231436">
        <w:rPr>
          <w:rFonts w:ascii="Arial" w:hAnsi="Arial" w:cs="Arial"/>
        </w:rPr>
        <w:t>a Figura 3, abaixo, traz os preços de compra e venda praticados por distribuidoras e revendedores em alguns bairros de São Paulo.</w:t>
      </w:r>
    </w:p>
    <w:p w:rsidR="000A354C" w:rsidRDefault="000A354C" w:rsidP="0062658E">
      <w:pPr>
        <w:ind w:firstLine="708"/>
        <w:jc w:val="both"/>
        <w:rPr>
          <w:rFonts w:ascii="Arial" w:hAnsi="Arial" w:cs="Arial"/>
        </w:rPr>
      </w:pPr>
    </w:p>
    <w:p w:rsidR="000A354C" w:rsidRDefault="000A354C" w:rsidP="000A354C">
      <w:pPr>
        <w:jc w:val="both"/>
        <w:rPr>
          <w:rFonts w:ascii="Arial" w:hAnsi="Arial" w:cs="Arial"/>
        </w:rPr>
      </w:pPr>
    </w:p>
    <w:p w:rsidR="000A354C" w:rsidRPr="00231436" w:rsidRDefault="000A354C" w:rsidP="000A354C">
      <w:pPr>
        <w:jc w:val="center"/>
        <w:rPr>
          <w:rFonts w:ascii="Arial" w:hAnsi="Arial" w:cs="Arial"/>
          <w:b/>
          <w:sz w:val="20"/>
          <w:szCs w:val="20"/>
        </w:rPr>
      </w:pPr>
      <w:r w:rsidRPr="002B1BFB">
        <w:rPr>
          <w:rFonts w:ascii="Arial" w:hAnsi="Arial" w:cs="Arial"/>
          <w:b/>
          <w:sz w:val="20"/>
          <w:szCs w:val="20"/>
        </w:rPr>
        <w:lastRenderedPageBreak/>
        <w:t xml:space="preserve">Figura </w:t>
      </w:r>
      <w:r>
        <w:rPr>
          <w:rFonts w:ascii="Arial" w:hAnsi="Arial" w:cs="Arial"/>
          <w:b/>
          <w:sz w:val="20"/>
          <w:szCs w:val="20"/>
        </w:rPr>
        <w:t>3</w:t>
      </w:r>
      <w:r w:rsidRPr="002B1BFB">
        <w:rPr>
          <w:rFonts w:ascii="Arial" w:hAnsi="Arial" w:cs="Arial"/>
          <w:b/>
          <w:sz w:val="20"/>
          <w:szCs w:val="20"/>
        </w:rPr>
        <w:t xml:space="preserve">: Relação de </w:t>
      </w:r>
      <w:r>
        <w:rPr>
          <w:rFonts w:ascii="Arial" w:hAnsi="Arial" w:cs="Arial"/>
          <w:b/>
          <w:sz w:val="20"/>
          <w:szCs w:val="20"/>
        </w:rPr>
        <w:t>Preços de Compra e Venda de Etanol Hidratado, no segmento de Distribuição e Revenda, em Bairros de São Paulo</w:t>
      </w:r>
    </w:p>
    <w:p w:rsidR="000A354C" w:rsidRDefault="000A354C" w:rsidP="00A828BA">
      <w:pPr>
        <w:jc w:val="center"/>
        <w:rPr>
          <w:rFonts w:ascii="Arial" w:hAnsi="Arial" w:cs="Arial"/>
        </w:rPr>
      </w:pPr>
      <w:r w:rsidRPr="009D0630">
        <w:rPr>
          <w:rFonts w:ascii="Arial" w:hAnsi="Arial" w:cs="Arial"/>
          <w:noProof/>
        </w:rPr>
        <w:drawing>
          <wp:inline distT="0" distB="0" distL="0" distR="0" wp14:anchorId="78B0A5FC" wp14:editId="2BDCBA5F">
            <wp:extent cx="5396230" cy="3144520"/>
            <wp:effectExtent l="0" t="0" r="1270" b="508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96230" cy="3144520"/>
                    </a:xfrm>
                    <a:prstGeom prst="rect">
                      <a:avLst/>
                    </a:prstGeom>
                  </pic:spPr>
                </pic:pic>
              </a:graphicData>
            </a:graphic>
          </wp:inline>
        </w:drawing>
      </w:r>
    </w:p>
    <w:p w:rsidR="000A354C" w:rsidRPr="0029600E" w:rsidRDefault="000A354C" w:rsidP="000A354C">
      <w:pPr>
        <w:jc w:val="both"/>
        <w:rPr>
          <w:rFonts w:ascii="Arial" w:hAnsi="Arial" w:cs="Arial"/>
          <w:sz w:val="16"/>
          <w:szCs w:val="16"/>
        </w:rPr>
      </w:pPr>
      <w:r w:rsidRPr="0029600E">
        <w:rPr>
          <w:rFonts w:ascii="Arial" w:hAnsi="Arial" w:cs="Arial"/>
          <w:sz w:val="16"/>
          <w:szCs w:val="16"/>
        </w:rPr>
        <w:t>Fonte: ANP.</w:t>
      </w:r>
    </w:p>
    <w:p w:rsidR="00231436" w:rsidRDefault="00231436" w:rsidP="00A828BA">
      <w:pPr>
        <w:jc w:val="both"/>
        <w:rPr>
          <w:rFonts w:ascii="Arial" w:hAnsi="Arial" w:cs="Arial"/>
        </w:rPr>
      </w:pPr>
    </w:p>
    <w:p w:rsidR="00231436" w:rsidRDefault="00231436" w:rsidP="0062658E">
      <w:pPr>
        <w:ind w:firstLine="708"/>
        <w:jc w:val="both"/>
        <w:rPr>
          <w:rFonts w:ascii="Arial" w:hAnsi="Arial" w:cs="Arial"/>
        </w:rPr>
      </w:pPr>
      <w:r>
        <w:rPr>
          <w:rFonts w:ascii="Arial" w:hAnsi="Arial" w:cs="Arial"/>
        </w:rPr>
        <w:t>Considerando os preços praticados no bairro do Ipiranga, por exemplo, verifica-se, inicialmente, que o menor preço de venda foi de R$ 2,4490, do posto “Karinat” de bandeira branca; e o maior, foi de R$ 2,9980, do posto “Jolice” da bandeira Ipiranga. Ou seja, apenas entre esses dois postos, há uma diferença de pouco menos de R$ 0,45, o que demonstraria, a princípio, que os postos bandeira branca da região não concorreriam com aqueles bandeirados.</w:t>
      </w:r>
    </w:p>
    <w:p w:rsidR="00231436" w:rsidRDefault="00231436" w:rsidP="0062658E">
      <w:pPr>
        <w:ind w:firstLine="708"/>
        <w:jc w:val="both"/>
        <w:rPr>
          <w:rFonts w:ascii="Arial" w:hAnsi="Arial" w:cs="Arial"/>
        </w:rPr>
      </w:pPr>
    </w:p>
    <w:p w:rsidR="00231436" w:rsidRDefault="00231436" w:rsidP="0062658E">
      <w:pPr>
        <w:ind w:firstLine="708"/>
        <w:jc w:val="both"/>
        <w:rPr>
          <w:rFonts w:ascii="Arial" w:hAnsi="Arial" w:cs="Arial"/>
        </w:rPr>
      </w:pPr>
      <w:r>
        <w:rPr>
          <w:rFonts w:ascii="Arial" w:hAnsi="Arial" w:cs="Arial"/>
        </w:rPr>
        <w:t xml:space="preserve">No entanto, não é esta diferença que chama </w:t>
      </w:r>
      <w:r w:rsidR="000A354C">
        <w:rPr>
          <w:rFonts w:ascii="Arial" w:hAnsi="Arial" w:cs="Arial"/>
        </w:rPr>
        <w:t xml:space="preserve">mais </w:t>
      </w:r>
      <w:r>
        <w:rPr>
          <w:rFonts w:ascii="Arial" w:hAnsi="Arial" w:cs="Arial"/>
        </w:rPr>
        <w:t>a atenção, mas, sim, as diferenças de preços existentes entre: (a) o preço de venda do posto “Ozorio”, da bandeira Alesat (R$ 2,4990)</w:t>
      </w:r>
      <w:r w:rsidR="000A354C">
        <w:rPr>
          <w:rFonts w:ascii="Arial" w:hAnsi="Arial" w:cs="Arial"/>
        </w:rPr>
        <w:t>,</w:t>
      </w:r>
      <w:r>
        <w:rPr>
          <w:rFonts w:ascii="Arial" w:hAnsi="Arial" w:cs="Arial"/>
        </w:rPr>
        <w:t xml:space="preserve"> e (b) o preço de compra (i.e., o preço praticado pela distribuidora) </w:t>
      </w:r>
      <w:r w:rsidR="005A35C4">
        <w:rPr>
          <w:rFonts w:ascii="Arial" w:hAnsi="Arial" w:cs="Arial"/>
        </w:rPr>
        <w:t>dos postos “Novasoc” (R$ 2,5650) e “Joluce” (R$ 2,5350)</w:t>
      </w:r>
      <w:r w:rsidR="000A354C">
        <w:rPr>
          <w:rFonts w:ascii="Arial" w:hAnsi="Arial" w:cs="Arial"/>
        </w:rPr>
        <w:t>,</w:t>
      </w:r>
      <w:r w:rsidR="005A35C4">
        <w:rPr>
          <w:rFonts w:ascii="Arial" w:hAnsi="Arial" w:cs="Arial"/>
        </w:rPr>
        <w:t xml:space="preserve"> da bandeira Ipiranga, os quais superam em alguns centavos o preço de venda do posto “Ozorio”.</w:t>
      </w:r>
      <w:r w:rsidR="000A354C">
        <w:rPr>
          <w:rFonts w:ascii="Arial" w:hAnsi="Arial" w:cs="Arial"/>
        </w:rPr>
        <w:t xml:space="preserve"> Ou seja, pelo preço cobrado pela Ipiranga, esses dois postos também não conseguiriam concorrer com aquele da Alesat.</w:t>
      </w:r>
    </w:p>
    <w:p w:rsidR="005A35C4" w:rsidRDefault="005A35C4" w:rsidP="0062658E">
      <w:pPr>
        <w:ind w:firstLine="708"/>
        <w:jc w:val="both"/>
        <w:rPr>
          <w:rFonts w:ascii="Arial" w:hAnsi="Arial" w:cs="Arial"/>
        </w:rPr>
      </w:pPr>
    </w:p>
    <w:p w:rsidR="000A354C" w:rsidRDefault="005A35C4" w:rsidP="005A35C4">
      <w:pPr>
        <w:ind w:firstLine="708"/>
        <w:jc w:val="both"/>
        <w:rPr>
          <w:rFonts w:ascii="Arial" w:hAnsi="Arial" w:cs="Arial"/>
        </w:rPr>
      </w:pPr>
      <w:r>
        <w:rPr>
          <w:rFonts w:ascii="Arial" w:hAnsi="Arial" w:cs="Arial"/>
        </w:rPr>
        <w:t>Outro dado estarrecedor que chama a atenção nesta tabela é aquele do preço de venda (R$ 2,5790) e de compra (R$ 2,5650) do mencionado posto “Novasoc”, da bandeira Ipiranga</w:t>
      </w:r>
      <w:r w:rsidR="000A354C">
        <w:rPr>
          <w:rFonts w:ascii="Arial" w:hAnsi="Arial" w:cs="Arial"/>
        </w:rPr>
        <w:t>. Esses dados mostram</w:t>
      </w:r>
      <w:r>
        <w:rPr>
          <w:rFonts w:ascii="Arial" w:hAnsi="Arial" w:cs="Arial"/>
        </w:rPr>
        <w:t xml:space="preserve"> uma diferença </w:t>
      </w:r>
      <w:r w:rsidR="000A354C">
        <w:rPr>
          <w:rFonts w:ascii="Arial" w:hAnsi="Arial" w:cs="Arial"/>
        </w:rPr>
        <w:t xml:space="preserve">entre o preço de compra e de venda de </w:t>
      </w:r>
      <w:r>
        <w:rPr>
          <w:rFonts w:ascii="Arial" w:hAnsi="Arial" w:cs="Arial"/>
        </w:rPr>
        <w:t xml:space="preserve">pouco </w:t>
      </w:r>
      <w:r w:rsidR="000A354C">
        <w:rPr>
          <w:rFonts w:ascii="Arial" w:hAnsi="Arial" w:cs="Arial"/>
        </w:rPr>
        <w:t xml:space="preserve">mais </w:t>
      </w:r>
      <w:r>
        <w:rPr>
          <w:rFonts w:ascii="Arial" w:hAnsi="Arial" w:cs="Arial"/>
        </w:rPr>
        <w:t>de um centavo por litro. Ou seja, além deste posto ter dificuldades</w:t>
      </w:r>
      <w:r w:rsidR="000A354C">
        <w:rPr>
          <w:rFonts w:ascii="Arial" w:hAnsi="Arial" w:cs="Arial"/>
        </w:rPr>
        <w:t xml:space="preserve"> para</w:t>
      </w:r>
      <w:r>
        <w:rPr>
          <w:rFonts w:ascii="Arial" w:hAnsi="Arial" w:cs="Arial"/>
        </w:rPr>
        <w:t xml:space="preserve"> concorrer com aquele da Alesat, destacado no parágrafo anterior, </w:t>
      </w:r>
      <w:r w:rsidR="000A354C">
        <w:rPr>
          <w:rFonts w:ascii="Arial" w:hAnsi="Arial" w:cs="Arial"/>
        </w:rPr>
        <w:t xml:space="preserve">é muito provável que também </w:t>
      </w:r>
      <w:r>
        <w:rPr>
          <w:rFonts w:ascii="Arial" w:hAnsi="Arial" w:cs="Arial"/>
        </w:rPr>
        <w:t>te</w:t>
      </w:r>
      <w:r w:rsidR="000A354C">
        <w:rPr>
          <w:rFonts w:ascii="Arial" w:hAnsi="Arial" w:cs="Arial"/>
        </w:rPr>
        <w:t>nha</w:t>
      </w:r>
      <w:r>
        <w:rPr>
          <w:rFonts w:ascii="Arial" w:hAnsi="Arial" w:cs="Arial"/>
        </w:rPr>
        <w:t xml:space="preserve"> grandes dificuldades para ser lucrativo, na medida em que a margem aqui verificada é de pouco mais de R$ 0,01 por litro. Em outros termos, para este posto ser lucrativo, não somente deve garantir serviços muito melhores do que aqueles fornecidos pelo posto da Alesat, como ainda deverá ter um volume de vendas alto.</w:t>
      </w:r>
      <w:r w:rsidR="000A354C">
        <w:rPr>
          <w:rFonts w:ascii="Arial" w:hAnsi="Arial" w:cs="Arial"/>
        </w:rPr>
        <w:t xml:space="preserve"> </w:t>
      </w:r>
    </w:p>
    <w:p w:rsidR="000A354C" w:rsidRDefault="000A354C" w:rsidP="005A35C4">
      <w:pPr>
        <w:ind w:firstLine="708"/>
        <w:jc w:val="both"/>
        <w:rPr>
          <w:rFonts w:ascii="Arial" w:hAnsi="Arial" w:cs="Arial"/>
        </w:rPr>
      </w:pPr>
    </w:p>
    <w:p w:rsidR="005A35C4" w:rsidRDefault="000A354C" w:rsidP="005A35C4">
      <w:pPr>
        <w:ind w:firstLine="708"/>
        <w:jc w:val="both"/>
        <w:rPr>
          <w:rFonts w:ascii="Arial" w:hAnsi="Arial" w:cs="Arial"/>
        </w:rPr>
      </w:pPr>
      <w:r>
        <w:rPr>
          <w:rFonts w:ascii="Arial" w:hAnsi="Arial" w:cs="Arial"/>
        </w:rPr>
        <w:t xml:space="preserve">Com uma margem de pouco mais de um centavo por litro, parece ser praticamente impossível este posto da Ipiranga realizar qualquer investimento na melhoria da qualidade dos serviços por ele prestados, de forma que estará </w:t>
      </w:r>
      <w:r>
        <w:rPr>
          <w:rFonts w:ascii="Arial" w:hAnsi="Arial" w:cs="Arial"/>
        </w:rPr>
        <w:lastRenderedPageBreak/>
        <w:t xml:space="preserve">fadado a deixar ou mercado; ou, alternativamente, passar a adotar práticas ilegais de adulteração de combustível, aquisição de combustível junto a outras distribuidoras ou, até mesmo, passar a sonegar tributos para se manter no mercado. </w:t>
      </w:r>
    </w:p>
    <w:p w:rsidR="005A35C4" w:rsidRDefault="005A35C4" w:rsidP="005A35C4">
      <w:pPr>
        <w:ind w:firstLine="708"/>
        <w:jc w:val="both"/>
        <w:rPr>
          <w:rFonts w:ascii="Arial" w:hAnsi="Arial" w:cs="Arial"/>
        </w:rPr>
      </w:pPr>
    </w:p>
    <w:p w:rsidR="00231436" w:rsidRDefault="005A35C4" w:rsidP="00A828BA">
      <w:pPr>
        <w:ind w:firstLine="708"/>
        <w:jc w:val="both"/>
        <w:rPr>
          <w:rFonts w:ascii="Arial" w:hAnsi="Arial" w:cs="Arial"/>
        </w:rPr>
      </w:pPr>
      <w:r>
        <w:rPr>
          <w:rFonts w:ascii="Arial" w:hAnsi="Arial" w:cs="Arial"/>
        </w:rPr>
        <w:t xml:space="preserve">Um último ponto que chama a atenção nos dados trazidos por esta tabela </w:t>
      </w:r>
      <w:r w:rsidR="000A354C">
        <w:rPr>
          <w:rFonts w:ascii="Arial" w:hAnsi="Arial" w:cs="Arial"/>
        </w:rPr>
        <w:t xml:space="preserve">é a </w:t>
      </w:r>
      <w:r>
        <w:rPr>
          <w:rFonts w:ascii="Arial" w:hAnsi="Arial" w:cs="Arial"/>
        </w:rPr>
        <w:t xml:space="preserve">discriminação de preços adotada pela bandeira Ipiranga em relação aos três postos que </w:t>
      </w:r>
      <w:r w:rsidR="000A354C">
        <w:rPr>
          <w:rFonts w:ascii="Arial" w:hAnsi="Arial" w:cs="Arial"/>
        </w:rPr>
        <w:t xml:space="preserve">divulgaram </w:t>
      </w:r>
      <w:r>
        <w:rPr>
          <w:rFonts w:ascii="Arial" w:hAnsi="Arial" w:cs="Arial"/>
        </w:rPr>
        <w:t xml:space="preserve">o </w:t>
      </w:r>
      <w:r w:rsidR="000A354C">
        <w:rPr>
          <w:rFonts w:ascii="Arial" w:hAnsi="Arial" w:cs="Arial"/>
        </w:rPr>
        <w:t xml:space="preserve">seu </w:t>
      </w:r>
      <w:r>
        <w:rPr>
          <w:rFonts w:ascii="Arial" w:hAnsi="Arial" w:cs="Arial"/>
        </w:rPr>
        <w:t xml:space="preserve">preço de “compra”. Com efeito, o preço de “compra” praticado </w:t>
      </w:r>
      <w:r w:rsidR="0029600E">
        <w:rPr>
          <w:rFonts w:ascii="Arial" w:hAnsi="Arial" w:cs="Arial"/>
        </w:rPr>
        <w:t>pela distribuidora Ipiranga é distinto para os três postos (“Novasoc” (R$ 2,5650), “Thabor” (R$ 2.4620) e “Joluce” (R$ 2,5350)). Embora, por um lado, esta diferenciação de preço possa ser justificada</w:t>
      </w:r>
      <w:r w:rsidR="000A354C">
        <w:rPr>
          <w:rFonts w:ascii="Arial" w:hAnsi="Arial" w:cs="Arial"/>
        </w:rPr>
        <w:t xml:space="preserve"> </w:t>
      </w:r>
      <w:r w:rsidR="0029600E">
        <w:rPr>
          <w:rFonts w:ascii="Arial" w:hAnsi="Arial" w:cs="Arial"/>
        </w:rPr>
        <w:t>em razão</w:t>
      </w:r>
      <w:r w:rsidR="000A354C">
        <w:rPr>
          <w:rFonts w:ascii="Arial" w:hAnsi="Arial" w:cs="Arial"/>
        </w:rPr>
        <w:t>, por exemplo,</w:t>
      </w:r>
      <w:r w:rsidR="0029600E">
        <w:rPr>
          <w:rFonts w:ascii="Arial" w:hAnsi="Arial" w:cs="Arial"/>
        </w:rPr>
        <w:t xml:space="preserve"> do volume adquirido por cada p</w:t>
      </w:r>
      <w:r w:rsidR="000A354C">
        <w:rPr>
          <w:rFonts w:ascii="Arial" w:hAnsi="Arial" w:cs="Arial"/>
        </w:rPr>
        <w:t>ostos</w:t>
      </w:r>
      <w:r w:rsidR="0029600E">
        <w:rPr>
          <w:rFonts w:ascii="Arial" w:hAnsi="Arial" w:cs="Arial"/>
        </w:rPr>
        <w:t xml:space="preserve"> ou</w:t>
      </w:r>
      <w:r w:rsidR="000A354C">
        <w:rPr>
          <w:rFonts w:ascii="Arial" w:hAnsi="Arial" w:cs="Arial"/>
        </w:rPr>
        <w:t>, ainda, pelos</w:t>
      </w:r>
      <w:r w:rsidR="0029600E">
        <w:rPr>
          <w:rFonts w:ascii="Arial" w:hAnsi="Arial" w:cs="Arial"/>
        </w:rPr>
        <w:t xml:space="preserve"> prazos ou condições de pagamento, fica evidente, por outro, que o posto “Thabor” terá melhores condições para concorrer nesse mercado, seja em termos de preço, seja em termos de investimento em serviços, do que os outros dois. </w:t>
      </w:r>
      <w:r w:rsidR="000A354C">
        <w:rPr>
          <w:rFonts w:ascii="Arial" w:hAnsi="Arial" w:cs="Arial"/>
        </w:rPr>
        <w:t xml:space="preserve">Esta discriminação também acarreta na elevação dos incentivos aos postos discriminados de adotarem condutas ilegais associadas a adulteração de combustíveis ou </w:t>
      </w:r>
      <w:r w:rsidR="0076471F">
        <w:rPr>
          <w:rFonts w:ascii="Arial" w:hAnsi="Arial" w:cs="Arial"/>
        </w:rPr>
        <w:t>sonegação de tributos, o que claramente contraria o espírito da regra de embandeiramento estabelecida pela ANP e atualmente em vigor no país.</w:t>
      </w:r>
    </w:p>
    <w:p w:rsidR="0029600E" w:rsidRDefault="00886B67" w:rsidP="00A828BA">
      <w:pPr>
        <w:jc w:val="both"/>
        <w:rPr>
          <w:rFonts w:ascii="Arial" w:hAnsi="Arial" w:cs="Arial"/>
        </w:rPr>
      </w:pPr>
      <w:r>
        <w:rPr>
          <w:rFonts w:ascii="Arial" w:hAnsi="Arial" w:cs="Arial"/>
        </w:rPr>
        <w:t xml:space="preserve">  </w:t>
      </w:r>
    </w:p>
    <w:p w:rsidR="0029600E" w:rsidRDefault="0029600E" w:rsidP="0029600E">
      <w:pPr>
        <w:ind w:firstLine="708"/>
        <w:jc w:val="both"/>
        <w:rPr>
          <w:rFonts w:ascii="Arial" w:hAnsi="Arial" w:cs="Arial"/>
        </w:rPr>
      </w:pPr>
      <w:r>
        <w:rPr>
          <w:rFonts w:ascii="Arial" w:hAnsi="Arial" w:cs="Arial"/>
        </w:rPr>
        <w:t>Ou seja, e em outros termos, os dados apresentados nesta Figura 3 demonstram, não somente, a existência de discriminação de preços por parte da distribuidora Ipiranga, como, ainda, um total descaso desta para garantir aos seus revendedores condições mínimas de competitividade no mercado, seja em termos de preço, seja em termos de investimento na qualidade do serviço ofertado por seus clientes</w:t>
      </w:r>
      <w:r w:rsidR="0076471F">
        <w:rPr>
          <w:rFonts w:ascii="Arial" w:hAnsi="Arial" w:cs="Arial"/>
        </w:rPr>
        <w:t>, criando incentivos para os postos discriminados entrarem na ilegalidade.</w:t>
      </w:r>
    </w:p>
    <w:p w:rsidR="0029600E" w:rsidRDefault="0029600E" w:rsidP="0029600E">
      <w:pPr>
        <w:ind w:firstLine="708"/>
        <w:jc w:val="both"/>
        <w:rPr>
          <w:rFonts w:ascii="Arial" w:hAnsi="Arial" w:cs="Arial"/>
        </w:rPr>
      </w:pPr>
    </w:p>
    <w:p w:rsidR="0029600E" w:rsidRDefault="001A4916" w:rsidP="0029600E">
      <w:pPr>
        <w:ind w:firstLine="708"/>
        <w:jc w:val="both"/>
        <w:rPr>
          <w:rFonts w:ascii="Arial" w:hAnsi="Arial" w:cs="Arial"/>
        </w:rPr>
      </w:pPr>
      <w:r>
        <w:rPr>
          <w:rFonts w:ascii="Arial" w:hAnsi="Arial" w:cs="Arial"/>
        </w:rPr>
        <w:t>Por fim, se esta i. ANP analisar as cláusulas dos contratos celebrados por estes postos com a Ipiranga, certamente constatará que as condições ali definidas são desequilibradas e servem para perpetuar a relação de exclusividade</w:t>
      </w:r>
      <w:r w:rsidR="0076471F">
        <w:rPr>
          <w:rFonts w:ascii="Arial" w:hAnsi="Arial" w:cs="Arial"/>
        </w:rPr>
        <w:t xml:space="preserve"> e, não, para garantir melhor qualidade e/ou preços de revenda mais baixos e competitivos</w:t>
      </w:r>
      <w:r>
        <w:rPr>
          <w:rFonts w:ascii="Arial" w:hAnsi="Arial" w:cs="Arial"/>
        </w:rPr>
        <w:t>.</w:t>
      </w:r>
    </w:p>
    <w:p w:rsidR="0076471F" w:rsidRDefault="0076471F" w:rsidP="0029600E">
      <w:pPr>
        <w:ind w:firstLine="708"/>
        <w:jc w:val="both"/>
        <w:rPr>
          <w:rFonts w:ascii="Arial" w:hAnsi="Arial" w:cs="Arial"/>
        </w:rPr>
      </w:pPr>
    </w:p>
    <w:p w:rsidR="0076471F" w:rsidRDefault="0076471F" w:rsidP="0029600E">
      <w:pPr>
        <w:ind w:firstLine="708"/>
        <w:jc w:val="both"/>
        <w:rPr>
          <w:rFonts w:ascii="Arial" w:hAnsi="Arial" w:cs="Arial"/>
        </w:rPr>
      </w:pPr>
      <w:r>
        <w:rPr>
          <w:rFonts w:ascii="Arial" w:hAnsi="Arial" w:cs="Arial"/>
        </w:rPr>
        <w:t>Este mesmo cenário também ocorre com as demais distribuidoras dominantes e podem ser facilmente verificados a partir da análise dos preços de compra e venda em outros bairros paulistanos ou de outras grandes cidades ou em municípios menores.</w:t>
      </w:r>
    </w:p>
    <w:p w:rsidR="00C83778" w:rsidRDefault="00C83778" w:rsidP="0048138A">
      <w:pPr>
        <w:jc w:val="both"/>
        <w:rPr>
          <w:rFonts w:ascii="Arial" w:hAnsi="Arial" w:cs="Arial"/>
        </w:rPr>
      </w:pPr>
    </w:p>
    <w:p w:rsidR="00C83778" w:rsidRPr="00C83778" w:rsidRDefault="00C83778" w:rsidP="0048138A">
      <w:pPr>
        <w:jc w:val="both"/>
        <w:rPr>
          <w:rFonts w:ascii="Arial" w:hAnsi="Arial" w:cs="Arial"/>
          <w:b/>
          <w:i/>
        </w:rPr>
      </w:pPr>
      <w:r w:rsidRPr="00C83778">
        <w:rPr>
          <w:rFonts w:ascii="Arial" w:hAnsi="Arial" w:cs="Arial"/>
          <w:b/>
          <w:i/>
        </w:rPr>
        <w:t xml:space="preserve">V </w:t>
      </w:r>
      <w:r>
        <w:rPr>
          <w:rFonts w:ascii="Arial" w:hAnsi="Arial" w:cs="Arial"/>
          <w:b/>
          <w:i/>
        </w:rPr>
        <w:t>–</w:t>
      </w:r>
      <w:r w:rsidRPr="00C83778">
        <w:rPr>
          <w:rFonts w:ascii="Arial" w:hAnsi="Arial" w:cs="Arial"/>
          <w:b/>
          <w:i/>
        </w:rPr>
        <w:t xml:space="preserve"> </w:t>
      </w:r>
      <w:r w:rsidRPr="00C83778">
        <w:rPr>
          <w:rFonts w:ascii="Arial" w:hAnsi="Arial" w:cs="Arial"/>
          <w:b/>
          <w:i/>
          <w:u w:val="single"/>
        </w:rPr>
        <w:t>Conclusão</w:t>
      </w:r>
    </w:p>
    <w:p w:rsidR="00C83778" w:rsidRDefault="00C83778" w:rsidP="0048138A">
      <w:pPr>
        <w:jc w:val="both"/>
        <w:rPr>
          <w:rFonts w:ascii="Arial" w:hAnsi="Arial" w:cs="Arial"/>
        </w:rPr>
      </w:pPr>
    </w:p>
    <w:p w:rsidR="00074CD5" w:rsidRDefault="00C83778" w:rsidP="0048138A">
      <w:pPr>
        <w:jc w:val="both"/>
        <w:rPr>
          <w:rFonts w:ascii="Arial" w:hAnsi="Arial" w:cs="Arial"/>
        </w:rPr>
      </w:pPr>
      <w:r>
        <w:rPr>
          <w:rFonts w:ascii="Arial" w:hAnsi="Arial" w:cs="Arial"/>
        </w:rPr>
        <w:tab/>
        <w:t>Pelo exposto acima, não restam dúvidas que, do ponto de vista econômico</w:t>
      </w:r>
      <w:r w:rsidR="00847CEE">
        <w:rPr>
          <w:rFonts w:ascii="Arial" w:hAnsi="Arial" w:cs="Arial"/>
        </w:rPr>
        <w:t xml:space="preserve"> e</w:t>
      </w:r>
      <w:r w:rsidR="00FB1ED3">
        <w:rPr>
          <w:rFonts w:ascii="Arial" w:hAnsi="Arial" w:cs="Arial"/>
        </w:rPr>
        <w:t xml:space="preserve"> legal, a norma da ANP </w:t>
      </w:r>
      <w:r w:rsidR="00847CEE">
        <w:rPr>
          <w:rFonts w:ascii="Arial" w:hAnsi="Arial" w:cs="Arial"/>
        </w:rPr>
        <w:t>que define a regra do</w:t>
      </w:r>
      <w:r w:rsidR="001A4916">
        <w:rPr>
          <w:rFonts w:ascii="Arial" w:hAnsi="Arial" w:cs="Arial"/>
        </w:rPr>
        <w:t xml:space="preserve"> embandeiramento</w:t>
      </w:r>
      <w:r w:rsidR="00847CEE">
        <w:rPr>
          <w:rFonts w:ascii="Arial" w:hAnsi="Arial" w:cs="Arial"/>
        </w:rPr>
        <w:t xml:space="preserve"> – assim como </w:t>
      </w:r>
      <w:r w:rsidR="001A4916">
        <w:rPr>
          <w:rFonts w:ascii="Arial" w:hAnsi="Arial" w:cs="Arial"/>
        </w:rPr>
        <w:t>os contratos de exclusividade, em suas diferentes modalidades</w:t>
      </w:r>
      <w:r w:rsidR="00847CEE">
        <w:rPr>
          <w:rFonts w:ascii="Arial" w:hAnsi="Arial" w:cs="Arial"/>
        </w:rPr>
        <w:t>, e</w:t>
      </w:r>
      <w:r w:rsidR="001A4916">
        <w:rPr>
          <w:rFonts w:ascii="Arial" w:hAnsi="Arial" w:cs="Arial"/>
        </w:rPr>
        <w:t xml:space="preserve"> </w:t>
      </w:r>
      <w:r w:rsidR="00847CEE">
        <w:rPr>
          <w:rFonts w:ascii="Arial" w:hAnsi="Arial" w:cs="Arial"/>
        </w:rPr>
        <w:t xml:space="preserve">que </w:t>
      </w:r>
      <w:r w:rsidR="001A4916">
        <w:rPr>
          <w:rFonts w:ascii="Arial" w:hAnsi="Arial" w:cs="Arial"/>
        </w:rPr>
        <w:t>decorre daquela</w:t>
      </w:r>
      <w:r w:rsidR="00847CEE">
        <w:rPr>
          <w:rFonts w:ascii="Arial" w:hAnsi="Arial" w:cs="Arial"/>
        </w:rPr>
        <w:t xml:space="preserve"> –</w:t>
      </w:r>
      <w:r w:rsidR="001A4916">
        <w:rPr>
          <w:rFonts w:ascii="Arial" w:hAnsi="Arial" w:cs="Arial"/>
        </w:rPr>
        <w:t xml:space="preserve"> geram sérias distorções competitivas, seja porque limitam </w:t>
      </w:r>
      <w:r w:rsidR="00847CEE">
        <w:rPr>
          <w:rFonts w:ascii="Arial" w:hAnsi="Arial" w:cs="Arial"/>
        </w:rPr>
        <w:t xml:space="preserve">a </w:t>
      </w:r>
      <w:r w:rsidR="00FB1ED3">
        <w:rPr>
          <w:rFonts w:ascii="Arial" w:hAnsi="Arial" w:cs="Arial"/>
        </w:rPr>
        <w:t xml:space="preserve">livre iniciativa e </w:t>
      </w:r>
      <w:r w:rsidR="001A4916">
        <w:rPr>
          <w:rFonts w:ascii="Arial" w:hAnsi="Arial" w:cs="Arial"/>
        </w:rPr>
        <w:t>a</w:t>
      </w:r>
      <w:r w:rsidR="00FB1ED3">
        <w:rPr>
          <w:rFonts w:ascii="Arial" w:hAnsi="Arial" w:cs="Arial"/>
        </w:rPr>
        <w:t xml:space="preserve"> livre concorrência, </w:t>
      </w:r>
      <w:r w:rsidR="001A4916">
        <w:rPr>
          <w:rFonts w:ascii="Arial" w:hAnsi="Arial" w:cs="Arial"/>
        </w:rPr>
        <w:t>na medida em que elevam as barreiras à entrada de novos ofertantes</w:t>
      </w:r>
      <w:r w:rsidR="00847CEE">
        <w:rPr>
          <w:rFonts w:ascii="Arial" w:hAnsi="Arial" w:cs="Arial"/>
        </w:rPr>
        <w:t>;</w:t>
      </w:r>
      <w:r w:rsidR="001A4916">
        <w:rPr>
          <w:rFonts w:ascii="Arial" w:hAnsi="Arial" w:cs="Arial"/>
        </w:rPr>
        <w:t xml:space="preserve"> seja ainda porque acabam por regular e definir os preços e </w:t>
      </w:r>
      <w:r w:rsidR="00FB1ED3">
        <w:rPr>
          <w:rFonts w:ascii="Arial" w:hAnsi="Arial" w:cs="Arial"/>
        </w:rPr>
        <w:t>as</w:t>
      </w:r>
      <w:r w:rsidR="001A4916">
        <w:rPr>
          <w:rFonts w:ascii="Arial" w:hAnsi="Arial" w:cs="Arial"/>
        </w:rPr>
        <w:t xml:space="preserve"> estratégias comerciais dos revendedores</w:t>
      </w:r>
      <w:r w:rsidR="00847CEE">
        <w:rPr>
          <w:rFonts w:ascii="Arial" w:hAnsi="Arial" w:cs="Arial"/>
        </w:rPr>
        <w:t>;</w:t>
      </w:r>
      <w:r w:rsidR="001A4916">
        <w:rPr>
          <w:rFonts w:ascii="Arial" w:hAnsi="Arial" w:cs="Arial"/>
        </w:rPr>
        <w:t xml:space="preserve"> </w:t>
      </w:r>
      <w:r w:rsidR="00847CEE">
        <w:rPr>
          <w:rFonts w:ascii="Arial" w:hAnsi="Arial" w:cs="Arial"/>
        </w:rPr>
        <w:t xml:space="preserve">seja também </w:t>
      </w:r>
      <w:r w:rsidR="001A4916">
        <w:rPr>
          <w:rFonts w:ascii="Arial" w:hAnsi="Arial" w:cs="Arial"/>
        </w:rPr>
        <w:t xml:space="preserve">por gerar incentivos à cartelização e até mesmo à adulteração de combustíveis ou sonegação fiscal pelos postos revendedores que sofrem com as cláusulas e </w:t>
      </w:r>
      <w:r w:rsidR="001A4916">
        <w:rPr>
          <w:rFonts w:ascii="Arial" w:hAnsi="Arial" w:cs="Arial"/>
        </w:rPr>
        <w:lastRenderedPageBreak/>
        <w:t xml:space="preserve">práticas abusivas e discriminatórias adotas pelas distribuidoras bandeiradas “dominantes. </w:t>
      </w:r>
    </w:p>
    <w:p w:rsidR="001A4916" w:rsidRDefault="001A4916" w:rsidP="0048138A">
      <w:pPr>
        <w:jc w:val="both"/>
        <w:rPr>
          <w:rFonts w:ascii="Arial" w:hAnsi="Arial" w:cs="Arial"/>
        </w:rPr>
      </w:pPr>
    </w:p>
    <w:p w:rsidR="001A4916" w:rsidRDefault="001A4916" w:rsidP="0048138A">
      <w:pPr>
        <w:jc w:val="both"/>
        <w:rPr>
          <w:rFonts w:ascii="Arial" w:hAnsi="Arial" w:cs="Arial"/>
        </w:rPr>
      </w:pPr>
      <w:r>
        <w:rPr>
          <w:rFonts w:ascii="Arial" w:hAnsi="Arial" w:cs="Arial"/>
        </w:rPr>
        <w:tab/>
        <w:t>Foi também demonstrado que estas preocupações quanto aos efeitos anticompetitivos desta regra e desses contratos encontram-se consolidadas e proliferadas nas análise</w:t>
      </w:r>
      <w:r w:rsidR="00847CEE">
        <w:rPr>
          <w:rFonts w:ascii="Arial" w:hAnsi="Arial" w:cs="Arial"/>
        </w:rPr>
        <w:t>s</w:t>
      </w:r>
      <w:r>
        <w:rPr>
          <w:rFonts w:ascii="Arial" w:hAnsi="Arial" w:cs="Arial"/>
        </w:rPr>
        <w:t xml:space="preserve"> e precedentes do CADE e demais órgãos de defesa e proteção da concorrência.</w:t>
      </w:r>
    </w:p>
    <w:p w:rsidR="001A4916" w:rsidRDefault="001A4916" w:rsidP="0048138A">
      <w:pPr>
        <w:jc w:val="both"/>
        <w:rPr>
          <w:rFonts w:ascii="Arial" w:hAnsi="Arial" w:cs="Arial"/>
        </w:rPr>
      </w:pPr>
    </w:p>
    <w:p w:rsidR="001A4916" w:rsidRDefault="001A4916" w:rsidP="0048138A">
      <w:pPr>
        <w:jc w:val="both"/>
        <w:rPr>
          <w:rFonts w:ascii="Arial" w:hAnsi="Arial" w:cs="Arial"/>
        </w:rPr>
      </w:pPr>
      <w:r>
        <w:rPr>
          <w:rFonts w:ascii="Arial" w:hAnsi="Arial" w:cs="Arial"/>
        </w:rPr>
        <w:tab/>
        <w:t>Além disso, em países com concentrações de mercado elevadas no elo da produção / distribuição, os órgãos reguladores têm adotado medidas para mitigar os problemas concorrenciais gerados pelos contratos de exclusividade</w:t>
      </w:r>
      <w:r w:rsidR="00847CEE">
        <w:rPr>
          <w:rFonts w:ascii="Arial" w:hAnsi="Arial" w:cs="Arial"/>
        </w:rPr>
        <w:t xml:space="preserve"> (ou da integração vertical societária)</w:t>
      </w:r>
      <w:r>
        <w:rPr>
          <w:rFonts w:ascii="Arial" w:hAnsi="Arial" w:cs="Arial"/>
        </w:rPr>
        <w:t>, a partir da regulação de suas cláusulas (especialmente de prazo de duração</w:t>
      </w:r>
      <w:r w:rsidR="00407C4D">
        <w:rPr>
          <w:rFonts w:ascii="Arial" w:hAnsi="Arial" w:cs="Arial"/>
        </w:rPr>
        <w:t xml:space="preserve"> e alienação de ativos envolvidos no contrato para o revendedor</w:t>
      </w:r>
      <w:r>
        <w:rPr>
          <w:rFonts w:ascii="Arial" w:hAnsi="Arial" w:cs="Arial"/>
        </w:rPr>
        <w:t>)</w:t>
      </w:r>
      <w:r w:rsidR="00407C4D">
        <w:rPr>
          <w:rFonts w:ascii="Arial" w:hAnsi="Arial" w:cs="Arial"/>
        </w:rPr>
        <w:t xml:space="preserve"> e </w:t>
      </w:r>
      <w:r>
        <w:rPr>
          <w:rFonts w:ascii="Arial" w:hAnsi="Arial" w:cs="Arial"/>
        </w:rPr>
        <w:t xml:space="preserve">limitação </w:t>
      </w:r>
      <w:r w:rsidR="00407C4D">
        <w:rPr>
          <w:rFonts w:ascii="Arial" w:hAnsi="Arial" w:cs="Arial"/>
        </w:rPr>
        <w:t>no número de postos que podem estar sujeitos a esses contratos.</w:t>
      </w:r>
    </w:p>
    <w:p w:rsidR="001A4916" w:rsidRDefault="001A4916" w:rsidP="0048138A">
      <w:pPr>
        <w:jc w:val="both"/>
        <w:rPr>
          <w:rFonts w:ascii="Arial" w:hAnsi="Arial" w:cs="Arial"/>
        </w:rPr>
      </w:pPr>
    </w:p>
    <w:p w:rsidR="00C83778" w:rsidRDefault="00074CD5" w:rsidP="00407C4D">
      <w:pPr>
        <w:ind w:firstLine="708"/>
        <w:jc w:val="both"/>
        <w:rPr>
          <w:rFonts w:ascii="Arial" w:hAnsi="Arial" w:cs="Arial"/>
        </w:rPr>
      </w:pPr>
      <w:r>
        <w:rPr>
          <w:rFonts w:ascii="Arial" w:hAnsi="Arial" w:cs="Arial"/>
        </w:rPr>
        <w:t>Assim sendo, o Sindaçúcar/PE acredita que ao revogar a</w:t>
      </w:r>
      <w:r w:rsidR="00407C4D">
        <w:rPr>
          <w:rFonts w:ascii="Arial" w:hAnsi="Arial" w:cs="Arial"/>
        </w:rPr>
        <w:t xml:space="preserve"> norma de embandeiramento – ou pelo menos vedar ou regular de forma contundente os contratos de exclusividade existentes no setor, </w:t>
      </w:r>
      <w:r w:rsidR="00847CEE">
        <w:rPr>
          <w:rFonts w:ascii="Arial" w:hAnsi="Arial" w:cs="Arial"/>
        </w:rPr>
        <w:t>a partir, por exemplo, d</w:t>
      </w:r>
      <w:r w:rsidR="00407C4D">
        <w:rPr>
          <w:rFonts w:ascii="Arial" w:hAnsi="Arial" w:cs="Arial"/>
        </w:rPr>
        <w:t>a redução dos prazos de duração</w:t>
      </w:r>
      <w:r w:rsidR="00847CEE">
        <w:rPr>
          <w:rFonts w:ascii="Arial" w:hAnsi="Arial" w:cs="Arial"/>
        </w:rPr>
        <w:t xml:space="preserve"> e do número de postos sujeitos a esta exclusividade</w:t>
      </w:r>
      <w:r w:rsidR="00407C4D">
        <w:rPr>
          <w:rFonts w:ascii="Arial" w:hAnsi="Arial" w:cs="Arial"/>
        </w:rPr>
        <w:t xml:space="preserve"> –</w:t>
      </w:r>
      <w:r w:rsidR="00403675">
        <w:rPr>
          <w:rFonts w:ascii="Arial" w:hAnsi="Arial" w:cs="Arial"/>
        </w:rPr>
        <w:t xml:space="preserve">, a ANP conferirá ao mercado brasileiro, não somente </w:t>
      </w:r>
      <w:r w:rsidR="00407C4D">
        <w:rPr>
          <w:rFonts w:ascii="Arial" w:hAnsi="Arial" w:cs="Arial"/>
        </w:rPr>
        <w:t>maior competitividade nos setores de distribuição e revenda, como, ainda,</w:t>
      </w:r>
      <w:r w:rsidR="00403675">
        <w:rPr>
          <w:rFonts w:ascii="Arial" w:hAnsi="Arial" w:cs="Arial"/>
        </w:rPr>
        <w:t xml:space="preserve"> </w:t>
      </w:r>
      <w:r w:rsidR="00407C4D">
        <w:rPr>
          <w:rFonts w:ascii="Arial" w:hAnsi="Arial" w:cs="Arial"/>
        </w:rPr>
        <w:t xml:space="preserve">permitirá a </w:t>
      </w:r>
      <w:r w:rsidR="00403675">
        <w:rPr>
          <w:rFonts w:ascii="Arial" w:hAnsi="Arial" w:cs="Arial"/>
        </w:rPr>
        <w:t>elevação da oferta d</w:t>
      </w:r>
      <w:r w:rsidR="00407C4D">
        <w:rPr>
          <w:rFonts w:ascii="Arial" w:hAnsi="Arial" w:cs="Arial"/>
        </w:rPr>
        <w:t>o etanol hidratado, a partir também da liberação da venda, a preços mais competitivos.</w:t>
      </w:r>
    </w:p>
    <w:p w:rsidR="00072CCF" w:rsidRDefault="00072CCF" w:rsidP="00074CD5">
      <w:pPr>
        <w:ind w:firstLine="708"/>
        <w:jc w:val="both"/>
        <w:rPr>
          <w:rFonts w:ascii="Arial" w:hAnsi="Arial" w:cs="Arial"/>
        </w:rPr>
      </w:pPr>
    </w:p>
    <w:p w:rsidR="00072CCF" w:rsidRDefault="00072CCF" w:rsidP="00074CD5">
      <w:pPr>
        <w:ind w:firstLine="708"/>
        <w:jc w:val="both"/>
        <w:rPr>
          <w:rFonts w:ascii="Arial" w:hAnsi="Arial" w:cs="Arial"/>
        </w:rPr>
      </w:pPr>
      <w:r>
        <w:rPr>
          <w:rFonts w:ascii="Arial" w:hAnsi="Arial" w:cs="Arial"/>
        </w:rPr>
        <w:t xml:space="preserve">Por fim, considerando a obrigação legal desta ANP </w:t>
      </w:r>
      <w:r w:rsidR="00847CEE">
        <w:rPr>
          <w:rFonts w:ascii="Arial" w:hAnsi="Arial" w:cs="Arial"/>
        </w:rPr>
        <w:t xml:space="preserve">de </w:t>
      </w:r>
      <w:r>
        <w:rPr>
          <w:rFonts w:ascii="Arial" w:hAnsi="Arial" w:cs="Arial"/>
        </w:rPr>
        <w:t>realizar estudo</w:t>
      </w:r>
      <w:r w:rsidR="00847CEE">
        <w:rPr>
          <w:rFonts w:ascii="Arial" w:hAnsi="Arial" w:cs="Arial"/>
        </w:rPr>
        <w:t>s</w:t>
      </w:r>
      <w:r>
        <w:rPr>
          <w:rFonts w:ascii="Arial" w:hAnsi="Arial" w:cs="Arial"/>
        </w:rPr>
        <w:t xml:space="preserve"> aprofundado</w:t>
      </w:r>
      <w:r w:rsidR="00847CEE">
        <w:rPr>
          <w:rFonts w:ascii="Arial" w:hAnsi="Arial" w:cs="Arial"/>
        </w:rPr>
        <w:t>s</w:t>
      </w:r>
      <w:r>
        <w:rPr>
          <w:rFonts w:ascii="Arial" w:hAnsi="Arial" w:cs="Arial"/>
        </w:rPr>
        <w:t xml:space="preserve"> sobre os impactos regulatórios e econômicos d</w:t>
      </w:r>
      <w:r w:rsidR="00407C4D">
        <w:rPr>
          <w:rFonts w:ascii="Arial" w:hAnsi="Arial" w:cs="Arial"/>
        </w:rPr>
        <w:t>os temas aqui tratados</w:t>
      </w:r>
      <w:r>
        <w:rPr>
          <w:rFonts w:ascii="Arial" w:hAnsi="Arial" w:cs="Arial"/>
        </w:rPr>
        <w:t>, o Sindaçúcar/PE, desde já, se coloca à disposição para contribuir com dados e, especialmente, a participar ativamente de grupo de trabalho a ser formado por esta Agência com este objetivo.</w:t>
      </w:r>
    </w:p>
    <w:p w:rsidR="00072CCF" w:rsidRDefault="00072CCF" w:rsidP="00072CCF">
      <w:pPr>
        <w:jc w:val="both"/>
        <w:rPr>
          <w:rFonts w:ascii="Arial" w:hAnsi="Arial" w:cs="Arial"/>
        </w:rPr>
      </w:pPr>
    </w:p>
    <w:p w:rsidR="00072CCF" w:rsidRDefault="00072CCF" w:rsidP="00072CCF">
      <w:pPr>
        <w:jc w:val="both"/>
        <w:rPr>
          <w:rFonts w:ascii="Arial" w:hAnsi="Arial" w:cs="Arial"/>
        </w:rPr>
      </w:pPr>
      <w:r>
        <w:rPr>
          <w:rFonts w:ascii="Arial" w:hAnsi="Arial" w:cs="Arial"/>
        </w:rPr>
        <w:tab/>
        <w:t xml:space="preserve">Despedimo-nos com a certeza de que esta ANP </w:t>
      </w:r>
      <w:r w:rsidR="003503AE">
        <w:rPr>
          <w:rFonts w:ascii="Arial" w:hAnsi="Arial" w:cs="Arial"/>
        </w:rPr>
        <w:t xml:space="preserve">revisitará o atual arcabouço regulatório nacional de forma a garantir aos produtores de etanol hidratado o seu direito de escolher se deverá comercializar o seu produto diretamente aos </w:t>
      </w:r>
      <w:r w:rsidR="00CB5F10">
        <w:rPr>
          <w:rFonts w:ascii="Arial" w:hAnsi="Arial" w:cs="Arial"/>
        </w:rPr>
        <w:t xml:space="preserve">postos </w:t>
      </w:r>
      <w:r w:rsidR="003503AE">
        <w:rPr>
          <w:rFonts w:ascii="Arial" w:hAnsi="Arial" w:cs="Arial"/>
        </w:rPr>
        <w:t>revendedores ou às distri</w:t>
      </w:r>
      <w:r w:rsidR="00CB5F10">
        <w:rPr>
          <w:rFonts w:ascii="Arial" w:hAnsi="Arial" w:cs="Arial"/>
        </w:rPr>
        <w:t xml:space="preserve">buidoras, </w:t>
      </w:r>
      <w:r w:rsidR="00847CEE">
        <w:rPr>
          <w:rFonts w:ascii="Arial" w:hAnsi="Arial" w:cs="Arial"/>
        </w:rPr>
        <w:t xml:space="preserve">bem como de ter o </w:t>
      </w:r>
      <w:r w:rsidR="00407C4D">
        <w:rPr>
          <w:rFonts w:ascii="Arial" w:hAnsi="Arial" w:cs="Arial"/>
        </w:rPr>
        <w:t>mercado de revenda aberto para receber o etanol produzido pelas usinas, a preços e condições melhores</w:t>
      </w:r>
      <w:r w:rsidR="00847CEE">
        <w:rPr>
          <w:rFonts w:ascii="Arial" w:hAnsi="Arial" w:cs="Arial"/>
        </w:rPr>
        <w:t xml:space="preserve"> e que permitam aos revendedores</w:t>
      </w:r>
      <w:r w:rsidR="00407C4D">
        <w:rPr>
          <w:rFonts w:ascii="Arial" w:hAnsi="Arial" w:cs="Arial"/>
        </w:rPr>
        <w:t xml:space="preserve"> substituir a </w:t>
      </w:r>
      <w:r w:rsidR="00F54E03">
        <w:rPr>
          <w:rFonts w:ascii="Arial" w:hAnsi="Arial" w:cs="Arial"/>
        </w:rPr>
        <w:t xml:space="preserve">oferta de </w:t>
      </w:r>
      <w:r w:rsidR="00407C4D">
        <w:rPr>
          <w:rFonts w:ascii="Arial" w:hAnsi="Arial" w:cs="Arial"/>
        </w:rPr>
        <w:t>gasolina C pelo etanol hidratado</w:t>
      </w:r>
      <w:r w:rsidR="00F54E03">
        <w:rPr>
          <w:rFonts w:ascii="Arial" w:hAnsi="Arial" w:cs="Arial"/>
        </w:rPr>
        <w:t xml:space="preserve"> aos consumidores finais brasileiros</w:t>
      </w:r>
      <w:r w:rsidR="00407C4D">
        <w:rPr>
          <w:rFonts w:ascii="Arial" w:hAnsi="Arial" w:cs="Arial"/>
        </w:rPr>
        <w:t>.</w:t>
      </w:r>
    </w:p>
    <w:p w:rsidR="00C83778" w:rsidRDefault="00C83778" w:rsidP="0048138A">
      <w:pPr>
        <w:jc w:val="both"/>
        <w:rPr>
          <w:rFonts w:ascii="Arial" w:hAnsi="Arial" w:cs="Arial"/>
        </w:rPr>
      </w:pPr>
    </w:p>
    <w:p w:rsidR="00CB5F10" w:rsidRDefault="00CB5F10" w:rsidP="0048138A">
      <w:pPr>
        <w:jc w:val="both"/>
        <w:rPr>
          <w:rFonts w:ascii="Arial" w:hAnsi="Arial" w:cs="Arial"/>
        </w:rPr>
      </w:pPr>
    </w:p>
    <w:p w:rsidR="00CB5F10" w:rsidRDefault="00CB5F10" w:rsidP="00CB5F10">
      <w:pPr>
        <w:jc w:val="center"/>
        <w:rPr>
          <w:rFonts w:ascii="Arial" w:hAnsi="Arial" w:cs="Arial"/>
        </w:rPr>
      </w:pPr>
      <w:r>
        <w:rPr>
          <w:rFonts w:ascii="Arial" w:hAnsi="Arial" w:cs="Arial"/>
        </w:rPr>
        <w:t>Atenciosamente,</w:t>
      </w:r>
    </w:p>
    <w:sectPr w:rsidR="00CB5F10" w:rsidSect="000E64D3">
      <w:footerReference w:type="even" r:id="rId10"/>
      <w:footerReference w:type="default" r:id="rId11"/>
      <w:pgSz w:w="11900" w:h="16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92125" w:rsidRDefault="00292125" w:rsidP="0093733C">
      <w:r>
        <w:separator/>
      </w:r>
    </w:p>
  </w:endnote>
  <w:endnote w:type="continuationSeparator" w:id="0">
    <w:p w:rsidR="00292125" w:rsidRDefault="00292125" w:rsidP="009373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Corpo CS)">
    <w:panose1 w:val="02020603050405020304"/>
    <w:charset w:val="00"/>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merodepgina"/>
      </w:rPr>
      <w:id w:val="478508030"/>
      <w:docPartObj>
        <w:docPartGallery w:val="Page Numbers (Bottom of Page)"/>
        <w:docPartUnique/>
      </w:docPartObj>
    </w:sdtPr>
    <w:sdtEndPr>
      <w:rPr>
        <w:rStyle w:val="Nmerodepgina"/>
      </w:rPr>
    </w:sdtEndPr>
    <w:sdtContent>
      <w:p w:rsidR="00A02D09" w:rsidRDefault="00A02D09" w:rsidP="00357448">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A02D09" w:rsidRDefault="00A02D09" w:rsidP="00B12FC0">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merodepgina"/>
      </w:rPr>
      <w:id w:val="1107539238"/>
      <w:docPartObj>
        <w:docPartGallery w:val="Page Numbers (Bottom of Page)"/>
        <w:docPartUnique/>
      </w:docPartObj>
    </w:sdtPr>
    <w:sdtEndPr>
      <w:rPr>
        <w:rStyle w:val="Nmerodepgina"/>
      </w:rPr>
    </w:sdtEndPr>
    <w:sdtContent>
      <w:p w:rsidR="00A02D09" w:rsidRDefault="00A02D09" w:rsidP="00357448">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Pr>
            <w:rStyle w:val="Nmerodepgina"/>
            <w:noProof/>
          </w:rPr>
          <w:t>1</w:t>
        </w:r>
        <w:r>
          <w:rPr>
            <w:rStyle w:val="Nmerodepgina"/>
          </w:rPr>
          <w:fldChar w:fldCharType="end"/>
        </w:r>
      </w:p>
    </w:sdtContent>
  </w:sdt>
  <w:p w:rsidR="00A02D09" w:rsidRDefault="00A02D09" w:rsidP="00B12FC0">
    <w:pPr>
      <w:pStyle w:val="Rodap"/>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92125" w:rsidRDefault="00292125" w:rsidP="0093733C">
      <w:r>
        <w:separator/>
      </w:r>
    </w:p>
  </w:footnote>
  <w:footnote w:type="continuationSeparator" w:id="0">
    <w:p w:rsidR="00292125" w:rsidRDefault="00292125" w:rsidP="0093733C">
      <w:r>
        <w:continuationSeparator/>
      </w:r>
    </w:p>
  </w:footnote>
  <w:footnote w:id="1">
    <w:p w:rsidR="00A02D09" w:rsidRPr="00A6722A" w:rsidRDefault="00A02D09" w:rsidP="00A6722A">
      <w:pPr>
        <w:pStyle w:val="Textodenotaderodap"/>
        <w:jc w:val="both"/>
        <w:rPr>
          <w:rFonts w:ascii="Arial" w:hAnsi="Arial" w:cs="Arial"/>
          <w:sz w:val="20"/>
          <w:szCs w:val="20"/>
        </w:rPr>
      </w:pPr>
      <w:r w:rsidRPr="00A6722A">
        <w:rPr>
          <w:rStyle w:val="Refdenotaderodap"/>
          <w:rFonts w:ascii="Arial" w:hAnsi="Arial" w:cs="Arial"/>
          <w:sz w:val="20"/>
          <w:szCs w:val="20"/>
        </w:rPr>
        <w:footnoteRef/>
      </w:r>
      <w:r w:rsidRPr="00A6722A">
        <w:rPr>
          <w:rFonts w:ascii="Arial" w:hAnsi="Arial" w:cs="Arial"/>
          <w:sz w:val="20"/>
          <w:szCs w:val="20"/>
        </w:rPr>
        <w:t xml:space="preserve"> Disponível em &lt;http://www.anp.gov.br/noticias/4829-anp-prorroga-prazo-das-tpcs-sobre-verticalizacao-da-cadeia-de-distribuicao-e-sobre-fidelidade-a-bandeira&gt;. Acessado em 08.11.18.</w:t>
      </w:r>
    </w:p>
  </w:footnote>
  <w:footnote w:id="2">
    <w:p w:rsidR="00A02D09" w:rsidRPr="00A828BA" w:rsidRDefault="00A02D09" w:rsidP="00A828BA">
      <w:pPr>
        <w:pStyle w:val="Textodenotaderodap"/>
        <w:jc w:val="both"/>
        <w:rPr>
          <w:rFonts w:ascii="Arial" w:hAnsi="Arial" w:cs="Arial"/>
          <w:sz w:val="20"/>
          <w:szCs w:val="20"/>
        </w:rPr>
      </w:pPr>
      <w:r w:rsidRPr="00A828BA">
        <w:rPr>
          <w:rStyle w:val="Refdenotaderodap"/>
          <w:rFonts w:ascii="Arial" w:hAnsi="Arial" w:cs="Arial"/>
          <w:sz w:val="20"/>
          <w:szCs w:val="20"/>
        </w:rPr>
        <w:footnoteRef/>
      </w:r>
      <w:r w:rsidRPr="00A828BA">
        <w:rPr>
          <w:rFonts w:ascii="Arial" w:hAnsi="Arial" w:cs="Arial"/>
          <w:sz w:val="20"/>
          <w:szCs w:val="20"/>
        </w:rPr>
        <w:t xml:space="preserve"> Vide, por exemplo, &lt;https://biowesleyan.wordpress.com/first-generation-biofuels/ethanol/case-study-brazil/sugarcane-vs-corn-based-ethanol/&gt;; </w:t>
      </w:r>
      <w:r>
        <w:rPr>
          <w:rFonts w:ascii="Arial" w:hAnsi="Arial" w:cs="Arial"/>
          <w:sz w:val="20"/>
          <w:szCs w:val="20"/>
        </w:rPr>
        <w:t>&lt;</w:t>
      </w:r>
      <w:hyperlink r:id="rId1" w:history="1">
        <w:r w:rsidRPr="00A828BA">
          <w:rPr>
            <w:rStyle w:val="Hyperlink"/>
            <w:rFonts w:ascii="Arial" w:hAnsi="Arial" w:cs="Arial"/>
            <w:sz w:val="20"/>
            <w:szCs w:val="20"/>
          </w:rPr>
          <w:t>https://www.eia.gov/energyexplained/index.php?page=biofuel_ethanol_environment</w:t>
        </w:r>
      </w:hyperlink>
      <w:r>
        <w:rPr>
          <w:rFonts w:ascii="Arial" w:hAnsi="Arial" w:cs="Arial"/>
          <w:sz w:val="20"/>
          <w:szCs w:val="20"/>
        </w:rPr>
        <w:t>&gt;</w:t>
      </w:r>
      <w:r w:rsidRPr="00A828BA">
        <w:rPr>
          <w:rFonts w:ascii="Arial" w:hAnsi="Arial" w:cs="Arial"/>
          <w:sz w:val="20"/>
          <w:szCs w:val="20"/>
        </w:rPr>
        <w:t xml:space="preserve"> e &lt;http://webcache.googleusercontent.com/search?q=cache:hkcc3M3grXMJ:www.mdpi.com/2079-9276/6/1/1/pdf+&amp;cd=3&amp;hl=pt-BR&amp;ct=clnk&amp;gl=br&amp;client=safari&gt;. Acessados em 18.11.2018.</w:t>
      </w:r>
    </w:p>
  </w:footnote>
  <w:footnote w:id="3">
    <w:p w:rsidR="00A02D09" w:rsidRPr="0093733C" w:rsidRDefault="00A02D09" w:rsidP="0093733C">
      <w:pPr>
        <w:pStyle w:val="Textodenotaderodap"/>
        <w:jc w:val="both"/>
        <w:rPr>
          <w:rFonts w:ascii="Arial" w:hAnsi="Arial" w:cs="Arial"/>
          <w:sz w:val="20"/>
          <w:szCs w:val="20"/>
        </w:rPr>
      </w:pPr>
      <w:r w:rsidRPr="0093733C">
        <w:rPr>
          <w:rStyle w:val="Refdenotaderodap"/>
          <w:rFonts w:ascii="Arial" w:hAnsi="Arial" w:cs="Arial"/>
          <w:sz w:val="20"/>
          <w:szCs w:val="20"/>
        </w:rPr>
        <w:footnoteRef/>
      </w:r>
      <w:r w:rsidRPr="0093733C">
        <w:rPr>
          <w:rFonts w:ascii="Arial" w:hAnsi="Arial" w:cs="Arial"/>
          <w:sz w:val="20"/>
          <w:szCs w:val="20"/>
        </w:rPr>
        <w:t xml:space="preserve"> GRAU, E. R. </w:t>
      </w:r>
      <w:r w:rsidRPr="0093733C">
        <w:rPr>
          <w:rFonts w:ascii="Arial" w:hAnsi="Arial" w:cs="Arial"/>
          <w:i/>
          <w:sz w:val="20"/>
          <w:szCs w:val="20"/>
        </w:rPr>
        <w:t>In</w:t>
      </w:r>
      <w:r w:rsidRPr="0093733C">
        <w:rPr>
          <w:rFonts w:ascii="Arial" w:hAnsi="Arial" w:cs="Arial"/>
          <w:sz w:val="20"/>
          <w:szCs w:val="20"/>
        </w:rPr>
        <w:t xml:space="preserve"> A Ordem Econômica na Constituição de 1988, Ed. Malheiros, 8ª Ed. São Paulo (2003), p. 193.</w:t>
      </w:r>
    </w:p>
  </w:footnote>
  <w:footnote w:id="4">
    <w:p w:rsidR="00A02D09" w:rsidRPr="00493E39" w:rsidRDefault="00A02D09" w:rsidP="0093733C">
      <w:pPr>
        <w:pStyle w:val="Textodenotaderodap"/>
        <w:jc w:val="both"/>
        <w:rPr>
          <w:rFonts w:ascii="Arial" w:hAnsi="Arial" w:cs="Arial"/>
          <w:sz w:val="20"/>
          <w:szCs w:val="20"/>
        </w:rPr>
      </w:pPr>
      <w:r w:rsidRPr="00493E39">
        <w:rPr>
          <w:rStyle w:val="Refdenotaderodap"/>
          <w:rFonts w:ascii="Arial" w:hAnsi="Arial" w:cs="Arial"/>
          <w:sz w:val="20"/>
          <w:szCs w:val="20"/>
        </w:rPr>
        <w:footnoteRef/>
      </w:r>
      <w:r w:rsidRPr="00493E39">
        <w:rPr>
          <w:rFonts w:ascii="Arial" w:hAnsi="Arial" w:cs="Arial"/>
          <w:sz w:val="20"/>
          <w:szCs w:val="20"/>
        </w:rPr>
        <w:t xml:space="preserve"> Vide artigo 170, incisos I, II, IV, V, IX, da Constituição da República Federativa do Brasil.</w:t>
      </w:r>
    </w:p>
  </w:footnote>
  <w:footnote w:id="5">
    <w:p w:rsidR="00A02D09" w:rsidRPr="00493E39" w:rsidRDefault="00A02D09" w:rsidP="00493E39">
      <w:pPr>
        <w:pStyle w:val="Textodenotaderodap"/>
        <w:jc w:val="both"/>
        <w:rPr>
          <w:rFonts w:ascii="Arial" w:hAnsi="Arial" w:cs="Arial"/>
          <w:sz w:val="20"/>
          <w:szCs w:val="20"/>
        </w:rPr>
      </w:pPr>
      <w:r w:rsidRPr="00493E39">
        <w:rPr>
          <w:rStyle w:val="Refdenotaderodap"/>
          <w:rFonts w:ascii="Arial" w:hAnsi="Arial" w:cs="Arial"/>
          <w:sz w:val="20"/>
          <w:szCs w:val="20"/>
        </w:rPr>
        <w:footnoteRef/>
      </w:r>
      <w:r w:rsidRPr="00493E39">
        <w:rPr>
          <w:rFonts w:ascii="Arial" w:hAnsi="Arial" w:cs="Arial"/>
          <w:sz w:val="20"/>
          <w:szCs w:val="20"/>
        </w:rPr>
        <w:t xml:space="preserve"> Com redação dada pela Lei 12.490/11.</w:t>
      </w:r>
    </w:p>
  </w:footnote>
  <w:footnote w:id="6">
    <w:p w:rsidR="00A02D09" w:rsidRPr="007D1280" w:rsidRDefault="00A02D09" w:rsidP="00493E39">
      <w:pPr>
        <w:pStyle w:val="Textodenotaderodap"/>
        <w:jc w:val="both"/>
        <w:rPr>
          <w:sz w:val="20"/>
          <w:szCs w:val="20"/>
        </w:rPr>
      </w:pPr>
      <w:r w:rsidRPr="00493E39">
        <w:rPr>
          <w:rStyle w:val="Refdenotaderodap"/>
          <w:rFonts w:ascii="Arial" w:hAnsi="Arial" w:cs="Arial"/>
          <w:sz w:val="20"/>
          <w:szCs w:val="20"/>
        </w:rPr>
        <w:footnoteRef/>
      </w:r>
      <w:r w:rsidRPr="00493E39">
        <w:rPr>
          <w:rFonts w:ascii="Arial" w:hAnsi="Arial" w:cs="Arial"/>
          <w:sz w:val="20"/>
          <w:szCs w:val="20"/>
        </w:rPr>
        <w:t xml:space="preserve"> Vide artigo 6º, XXIV da Lei 9.478/97 sobre a definição de biocombustível, na qual se insere o etanol.</w:t>
      </w:r>
    </w:p>
  </w:footnote>
  <w:footnote w:id="7">
    <w:p w:rsidR="00A02D09" w:rsidRPr="006201F8" w:rsidRDefault="00A02D09" w:rsidP="002A73E2">
      <w:pPr>
        <w:jc w:val="both"/>
        <w:rPr>
          <w:rFonts w:ascii="Arial" w:eastAsia="Times New Roman" w:hAnsi="Arial" w:cs="Arial"/>
          <w:sz w:val="20"/>
          <w:szCs w:val="20"/>
          <w:lang w:eastAsia="pt-BR"/>
        </w:rPr>
      </w:pPr>
      <w:r w:rsidRPr="006201F8">
        <w:rPr>
          <w:rStyle w:val="Refdenotaderodap"/>
          <w:rFonts w:ascii="Arial" w:hAnsi="Arial" w:cs="Arial"/>
          <w:sz w:val="20"/>
          <w:szCs w:val="20"/>
        </w:rPr>
        <w:footnoteRef/>
      </w:r>
      <w:r>
        <w:rPr>
          <w:rFonts w:ascii="Arial" w:hAnsi="Arial" w:cs="Arial"/>
          <w:sz w:val="20"/>
          <w:szCs w:val="20"/>
        </w:rPr>
        <w:t xml:space="preserve"> </w:t>
      </w:r>
      <w:r w:rsidRPr="006201F8">
        <w:rPr>
          <w:rFonts w:ascii="Arial" w:hAnsi="Arial" w:cs="Arial"/>
          <w:sz w:val="20"/>
          <w:szCs w:val="20"/>
        </w:rPr>
        <w:t>Disponível em &lt;</w:t>
      </w:r>
      <w:hyperlink r:id="rId2" w:history="1">
        <w:r w:rsidRPr="006201F8">
          <w:rPr>
            <w:rFonts w:ascii="Arial" w:eastAsia="Times New Roman" w:hAnsi="Arial" w:cs="Arial"/>
            <w:color w:val="000000" w:themeColor="text1"/>
            <w:sz w:val="20"/>
            <w:szCs w:val="20"/>
            <w:lang w:eastAsia="pt-BR"/>
          </w:rPr>
          <w:t>http://www2.camara.leg.br/atividade-legislativa/webcamara/videoArquivo?codSessao=75739</w:t>
        </w:r>
      </w:hyperlink>
      <w:r w:rsidRPr="006201F8">
        <w:rPr>
          <w:rFonts w:ascii="Arial" w:hAnsi="Arial" w:cs="Arial"/>
          <w:sz w:val="20"/>
          <w:szCs w:val="20"/>
        </w:rPr>
        <w:t>&gt;. Audiência Pública na Comissão de Defesa do Consumidor. Requerimento nº 241/2018. Apresentação do Sr. Ricardo Medeiros de Castro, do Departamento de Estudos Econômicos do Conselho Administrativo de Defesa Econômica – CADE.</w:t>
      </w:r>
    </w:p>
  </w:footnote>
  <w:footnote w:id="8">
    <w:p w:rsidR="00A02D09" w:rsidRPr="008C2731" w:rsidRDefault="00A02D09" w:rsidP="008C2731">
      <w:pPr>
        <w:pStyle w:val="Textodenotaderodap"/>
        <w:jc w:val="both"/>
        <w:rPr>
          <w:rFonts w:ascii="Arial" w:hAnsi="Arial" w:cs="Arial"/>
          <w:sz w:val="20"/>
          <w:szCs w:val="20"/>
        </w:rPr>
      </w:pPr>
      <w:r w:rsidRPr="008C2731">
        <w:rPr>
          <w:rStyle w:val="Refdenotaderodap"/>
          <w:rFonts w:ascii="Arial" w:hAnsi="Arial" w:cs="Arial"/>
          <w:sz w:val="20"/>
          <w:szCs w:val="20"/>
        </w:rPr>
        <w:footnoteRef/>
      </w:r>
      <w:r w:rsidRPr="008C2731">
        <w:rPr>
          <w:rFonts w:ascii="Arial" w:hAnsi="Arial" w:cs="Arial"/>
          <w:sz w:val="20"/>
          <w:szCs w:val="20"/>
        </w:rPr>
        <w:t xml:space="preserve"> </w:t>
      </w:r>
      <w:r>
        <w:rPr>
          <w:rFonts w:ascii="Arial" w:hAnsi="Arial" w:cs="Arial"/>
          <w:sz w:val="20"/>
          <w:szCs w:val="20"/>
        </w:rPr>
        <w:t>“</w:t>
      </w:r>
      <w:r w:rsidRPr="008C2731">
        <w:rPr>
          <w:rFonts w:ascii="Arial" w:hAnsi="Arial" w:cs="Arial"/>
          <w:i/>
          <w:sz w:val="20"/>
          <w:szCs w:val="20"/>
        </w:rPr>
        <w:t>Art. 16-A. (...) Parágrafo único. É vedada a comercialização de combustíveis automotivos com revendedor varejista que optou por exibir a marca comercial de outro distribuidor, conforme previsto no art. 11 da Portaria ANP nº 116, de 5 de julho de 2000</w:t>
      </w:r>
      <w:r w:rsidRPr="008C2731">
        <w:rPr>
          <w:rFonts w:ascii="Arial" w:hAnsi="Arial" w:cs="Arial"/>
          <w:sz w:val="20"/>
          <w:szCs w:val="20"/>
        </w:rPr>
        <w:t>”.</w:t>
      </w:r>
      <w:r w:rsidRPr="008C2731">
        <w:rPr>
          <w:rFonts w:ascii="Arial" w:hAnsi="Arial" w:cs="Arial"/>
          <w:i/>
          <w:sz w:val="20"/>
          <w:szCs w:val="20"/>
        </w:rPr>
        <w:t xml:space="preserve">  </w:t>
      </w:r>
    </w:p>
  </w:footnote>
  <w:footnote w:id="9">
    <w:p w:rsidR="00A02D09" w:rsidRPr="00F02C9B" w:rsidRDefault="00A02D09" w:rsidP="00CE0267">
      <w:pPr>
        <w:pStyle w:val="Textodenotaderodap"/>
        <w:jc w:val="both"/>
        <w:rPr>
          <w:rFonts w:ascii="Arial" w:hAnsi="Arial" w:cs="Arial"/>
          <w:sz w:val="20"/>
          <w:szCs w:val="20"/>
        </w:rPr>
      </w:pPr>
      <w:r w:rsidRPr="00CE0267">
        <w:rPr>
          <w:rStyle w:val="Refdenotaderodap"/>
          <w:rFonts w:ascii="Arial" w:hAnsi="Arial" w:cs="Arial"/>
          <w:sz w:val="20"/>
          <w:szCs w:val="20"/>
        </w:rPr>
        <w:footnoteRef/>
      </w:r>
      <w:r w:rsidRPr="00CE0267">
        <w:rPr>
          <w:rFonts w:ascii="Arial" w:hAnsi="Arial" w:cs="Arial"/>
          <w:sz w:val="20"/>
          <w:szCs w:val="20"/>
          <w:lang w:val="en-US"/>
        </w:rPr>
        <w:t xml:space="preserve"> VISCUSI, W.K., HARRINGTON JR., J.E. e VERNON, J.M. </w:t>
      </w:r>
      <w:r w:rsidRPr="00CE0267">
        <w:rPr>
          <w:rFonts w:ascii="Arial" w:hAnsi="Arial" w:cs="Arial"/>
          <w:i/>
          <w:sz w:val="20"/>
          <w:szCs w:val="20"/>
          <w:lang w:val="en-US"/>
        </w:rPr>
        <w:t>Economics of Regulation and Antitrust</w:t>
      </w:r>
      <w:r w:rsidRPr="00CE0267">
        <w:rPr>
          <w:rFonts w:ascii="Arial" w:hAnsi="Arial" w:cs="Arial"/>
          <w:sz w:val="20"/>
          <w:szCs w:val="20"/>
          <w:lang w:val="en-US"/>
        </w:rPr>
        <w:t xml:space="preserve">. </w:t>
      </w:r>
      <w:r w:rsidRPr="00F02C9B">
        <w:rPr>
          <w:rFonts w:ascii="Arial" w:hAnsi="Arial" w:cs="Arial"/>
          <w:sz w:val="20"/>
          <w:szCs w:val="20"/>
        </w:rPr>
        <w:t>The MIT Press, Cambridge, Massachusetts (2005), p. 30.</w:t>
      </w:r>
    </w:p>
  </w:footnote>
  <w:footnote w:id="10">
    <w:p w:rsidR="00A02D09" w:rsidRPr="00732355" w:rsidRDefault="00A02D09" w:rsidP="00E93AC7">
      <w:pPr>
        <w:pStyle w:val="Textodenotaderodap"/>
        <w:jc w:val="both"/>
        <w:rPr>
          <w:rFonts w:ascii="Arial" w:hAnsi="Arial" w:cs="Arial"/>
          <w:sz w:val="20"/>
          <w:szCs w:val="20"/>
        </w:rPr>
      </w:pPr>
      <w:r w:rsidRPr="00732355">
        <w:rPr>
          <w:rStyle w:val="Refdenotaderodap"/>
          <w:rFonts w:ascii="Arial" w:hAnsi="Arial" w:cs="Arial"/>
          <w:sz w:val="20"/>
          <w:szCs w:val="20"/>
        </w:rPr>
        <w:footnoteRef/>
      </w:r>
      <w:r>
        <w:rPr>
          <w:rFonts w:ascii="Arial" w:hAnsi="Arial" w:cs="Arial"/>
          <w:sz w:val="20"/>
          <w:szCs w:val="20"/>
        </w:rPr>
        <w:t xml:space="preserve"> </w:t>
      </w:r>
      <w:r w:rsidRPr="00732355">
        <w:rPr>
          <w:rFonts w:ascii="Arial" w:hAnsi="Arial" w:cs="Arial"/>
          <w:sz w:val="20"/>
          <w:szCs w:val="20"/>
        </w:rPr>
        <w:t>Consultas e Audiências Públicas ANP – 2016. Disponível em &lt;http://www.anp.gov.br/consultas-e-audiencias-publicas#&gt;. Acessado em 10.01.17.</w:t>
      </w:r>
    </w:p>
  </w:footnote>
  <w:footnote w:id="11">
    <w:p w:rsidR="00A02D09" w:rsidRPr="00F0667C" w:rsidRDefault="00A02D09">
      <w:pPr>
        <w:pStyle w:val="Textodenotaderodap"/>
        <w:rPr>
          <w:rFonts w:ascii="Arial" w:hAnsi="Arial" w:cs="Arial"/>
          <w:sz w:val="20"/>
          <w:szCs w:val="20"/>
        </w:rPr>
      </w:pPr>
      <w:r w:rsidRPr="00F0667C">
        <w:rPr>
          <w:rStyle w:val="Refdenotaderodap"/>
          <w:rFonts w:ascii="Arial" w:hAnsi="Arial" w:cs="Arial"/>
          <w:sz w:val="20"/>
          <w:szCs w:val="20"/>
        </w:rPr>
        <w:footnoteRef/>
      </w:r>
      <w:r w:rsidRPr="00F0667C">
        <w:rPr>
          <w:rFonts w:ascii="Arial" w:hAnsi="Arial" w:cs="Arial"/>
          <w:sz w:val="20"/>
          <w:szCs w:val="20"/>
        </w:rPr>
        <w:t xml:space="preserve"> Requerentes: Ipiranga Produtos de Petróleo S.A. e Alesat Combustíveis S.A.</w:t>
      </w:r>
    </w:p>
  </w:footnote>
  <w:footnote w:id="12">
    <w:p w:rsidR="00A02D09" w:rsidRPr="00F0667C" w:rsidRDefault="00A02D09" w:rsidP="00A70498">
      <w:pPr>
        <w:pStyle w:val="Textodenotaderodap"/>
        <w:rPr>
          <w:rFonts w:ascii="Arial" w:hAnsi="Arial" w:cs="Arial"/>
          <w:sz w:val="20"/>
          <w:szCs w:val="20"/>
        </w:rPr>
      </w:pPr>
      <w:r w:rsidRPr="00F0667C">
        <w:rPr>
          <w:rStyle w:val="Refdenotaderodap"/>
          <w:rFonts w:ascii="Arial" w:hAnsi="Arial" w:cs="Arial"/>
          <w:sz w:val="20"/>
          <w:szCs w:val="20"/>
        </w:rPr>
        <w:footnoteRef/>
      </w:r>
      <w:r w:rsidRPr="00F0667C">
        <w:rPr>
          <w:rFonts w:ascii="Arial" w:hAnsi="Arial" w:cs="Arial"/>
          <w:sz w:val="20"/>
          <w:szCs w:val="20"/>
        </w:rPr>
        <w:t xml:space="preserve"> Disponível em &lt;</w:t>
      </w:r>
      <w:r w:rsidRPr="004A7AA9">
        <w:rPr>
          <w:rFonts w:ascii="Arial" w:hAnsi="Arial" w:cs="Arial"/>
          <w:sz w:val="20"/>
          <w:szCs w:val="20"/>
        </w:rPr>
        <w:t>https://sei.cade.gov.br/sei/modulos/pesquisa/md_pesq_documento_consulta_externa.php?DZ2uWeaYicbuRZEFhBt-n3BfPLlu9u7akQAh8mpB9yOYwZG_cIaIPgCmPV2LEexJauDwOKHCGeiRj-wUMaXW3wXgle9jOnXERiwoiCIyhnaUUEeUNYgxcJtVtk-o-4tQ</w:t>
      </w:r>
      <w:r w:rsidRPr="00F0667C">
        <w:rPr>
          <w:rFonts w:ascii="Arial" w:hAnsi="Arial" w:cs="Arial"/>
          <w:sz w:val="20"/>
          <w:szCs w:val="20"/>
        </w:rPr>
        <w:t>&gt;. Acessado em 07.11.2018.</w:t>
      </w:r>
    </w:p>
  </w:footnote>
  <w:footnote w:id="13">
    <w:p w:rsidR="00A02D09" w:rsidRPr="00F0667C" w:rsidRDefault="00A02D09" w:rsidP="0073213C">
      <w:pPr>
        <w:pStyle w:val="Textodenotaderodap"/>
        <w:jc w:val="both"/>
        <w:rPr>
          <w:rFonts w:ascii="Arial" w:hAnsi="Arial" w:cs="Arial"/>
          <w:sz w:val="20"/>
          <w:szCs w:val="20"/>
        </w:rPr>
      </w:pPr>
      <w:r w:rsidRPr="00F0667C">
        <w:rPr>
          <w:rStyle w:val="Refdenotaderodap"/>
          <w:rFonts w:ascii="Arial" w:hAnsi="Arial" w:cs="Arial"/>
          <w:sz w:val="20"/>
          <w:szCs w:val="20"/>
        </w:rPr>
        <w:footnoteRef/>
      </w:r>
      <w:r w:rsidRPr="00F0667C">
        <w:rPr>
          <w:rFonts w:ascii="Arial" w:hAnsi="Arial" w:cs="Arial"/>
          <w:sz w:val="20"/>
          <w:szCs w:val="20"/>
        </w:rPr>
        <w:t xml:space="preserve"> Vide art. 14.</w:t>
      </w:r>
    </w:p>
  </w:footnote>
  <w:footnote w:id="14">
    <w:p w:rsidR="00A02D09" w:rsidRPr="00E54701" w:rsidRDefault="00A02D09" w:rsidP="00262CFE">
      <w:pPr>
        <w:pStyle w:val="Textodenotaderodap"/>
        <w:jc w:val="both"/>
        <w:rPr>
          <w:rFonts w:ascii="Arial" w:hAnsi="Arial" w:cs="Arial"/>
          <w:sz w:val="20"/>
          <w:szCs w:val="20"/>
        </w:rPr>
      </w:pPr>
      <w:r w:rsidRPr="00F0667C">
        <w:rPr>
          <w:rStyle w:val="Refdenotaderodap"/>
          <w:rFonts w:ascii="Arial" w:hAnsi="Arial" w:cs="Arial"/>
          <w:sz w:val="20"/>
          <w:szCs w:val="20"/>
        </w:rPr>
        <w:footnoteRef/>
      </w:r>
      <w:r w:rsidRPr="00E54701">
        <w:rPr>
          <w:rFonts w:ascii="Arial" w:hAnsi="Arial" w:cs="Arial"/>
          <w:sz w:val="20"/>
          <w:szCs w:val="20"/>
        </w:rPr>
        <w:t xml:space="preserve"> Vide art. 25, II e § 4º.</w:t>
      </w:r>
    </w:p>
  </w:footnote>
  <w:footnote w:id="15">
    <w:p w:rsidR="00A02D09" w:rsidRPr="00E54701" w:rsidRDefault="00A02D09" w:rsidP="0073213C">
      <w:pPr>
        <w:pStyle w:val="Textodenotaderodap"/>
        <w:jc w:val="both"/>
        <w:rPr>
          <w:sz w:val="20"/>
          <w:szCs w:val="20"/>
        </w:rPr>
      </w:pPr>
      <w:r w:rsidRPr="007D1280">
        <w:rPr>
          <w:rStyle w:val="Refdenotaderodap"/>
          <w:sz w:val="20"/>
          <w:szCs w:val="20"/>
        </w:rPr>
        <w:footnoteRef/>
      </w:r>
      <w:r w:rsidRPr="00E54701">
        <w:rPr>
          <w:sz w:val="20"/>
          <w:szCs w:val="20"/>
        </w:rPr>
        <w:t xml:space="preserve"> Vide art. 32.</w:t>
      </w:r>
    </w:p>
  </w:footnote>
  <w:footnote w:id="16">
    <w:p w:rsidR="00A02D09" w:rsidRPr="00E54701" w:rsidRDefault="00A02D09">
      <w:pPr>
        <w:pStyle w:val="Textodenotaderodap"/>
        <w:rPr>
          <w:sz w:val="20"/>
          <w:szCs w:val="20"/>
        </w:rPr>
      </w:pPr>
      <w:r w:rsidRPr="0008608E">
        <w:rPr>
          <w:rStyle w:val="Refdenotaderodap"/>
          <w:sz w:val="20"/>
          <w:szCs w:val="20"/>
        </w:rPr>
        <w:footnoteRef/>
      </w:r>
      <w:r w:rsidRPr="0008608E">
        <w:rPr>
          <w:sz w:val="20"/>
          <w:szCs w:val="20"/>
          <w:lang w:val="en-US"/>
        </w:rPr>
        <w:t xml:space="preserve"> BAIN, J. S. </w:t>
      </w:r>
      <w:r w:rsidRPr="0008608E">
        <w:rPr>
          <w:i/>
          <w:sz w:val="20"/>
          <w:szCs w:val="20"/>
          <w:lang w:val="en-US"/>
        </w:rPr>
        <w:t>Industrial Organization</w:t>
      </w:r>
      <w:r w:rsidRPr="0008608E">
        <w:rPr>
          <w:sz w:val="20"/>
          <w:szCs w:val="20"/>
          <w:lang w:val="en-US"/>
        </w:rPr>
        <w:t>. John Wiley &amp; Sons, Inc., New York, 2</w:t>
      </w:r>
      <w:r w:rsidRPr="0008608E">
        <w:rPr>
          <w:sz w:val="20"/>
          <w:szCs w:val="20"/>
          <w:vertAlign w:val="superscript"/>
          <w:lang w:val="en-US"/>
        </w:rPr>
        <w:t>nd</w:t>
      </w:r>
      <w:r w:rsidRPr="0008608E">
        <w:rPr>
          <w:sz w:val="20"/>
          <w:szCs w:val="20"/>
          <w:lang w:val="en-US"/>
        </w:rPr>
        <w:t xml:space="preserve"> Ed. </w:t>
      </w:r>
      <w:r w:rsidRPr="00E54701">
        <w:rPr>
          <w:sz w:val="20"/>
          <w:szCs w:val="20"/>
        </w:rPr>
        <w:t>(1968), p. 464 e ss.</w:t>
      </w:r>
    </w:p>
  </w:footnote>
  <w:footnote w:id="17">
    <w:p w:rsidR="00A02D09" w:rsidRPr="00E54701" w:rsidRDefault="00A02D09" w:rsidP="00EF3C62">
      <w:pPr>
        <w:pStyle w:val="Textodenotaderodap"/>
        <w:jc w:val="both"/>
        <w:rPr>
          <w:rFonts w:ascii="Arial" w:hAnsi="Arial" w:cs="Arial"/>
          <w:sz w:val="20"/>
          <w:szCs w:val="20"/>
          <w:lang w:val="en-US"/>
        </w:rPr>
      </w:pPr>
      <w:r w:rsidRPr="00EF3C62">
        <w:rPr>
          <w:rStyle w:val="Refdenotaderodap"/>
          <w:rFonts w:ascii="Arial" w:hAnsi="Arial" w:cs="Arial"/>
          <w:sz w:val="20"/>
          <w:szCs w:val="20"/>
        </w:rPr>
        <w:footnoteRef/>
      </w:r>
      <w:r w:rsidRPr="00EF3C62">
        <w:rPr>
          <w:rFonts w:ascii="Arial" w:hAnsi="Arial" w:cs="Arial"/>
          <w:sz w:val="20"/>
          <w:szCs w:val="20"/>
        </w:rPr>
        <w:t xml:space="preserve"> Vide Parecer Analítico sobre Regras Regulatórias nº 122/COGEN/SEAE/MF. Disponível em &lt;http://www.anp.gov.br/images/Consultas_publicas/Concluidas/2013/n7/Sugestoes_recebidas_SEAEMF.pdf &gt;. </w:t>
      </w:r>
      <w:r w:rsidRPr="00E54701">
        <w:rPr>
          <w:rFonts w:ascii="Arial" w:hAnsi="Arial" w:cs="Arial"/>
          <w:sz w:val="20"/>
          <w:szCs w:val="20"/>
          <w:lang w:val="en-US"/>
        </w:rPr>
        <w:t xml:space="preserve">Acessado em 10.11.2018. </w:t>
      </w:r>
    </w:p>
  </w:footnote>
  <w:footnote w:id="18">
    <w:p w:rsidR="00A02D09" w:rsidRPr="00E54701" w:rsidRDefault="00A02D09" w:rsidP="00EF3C62">
      <w:pPr>
        <w:pStyle w:val="Textodenotaderodap"/>
        <w:jc w:val="both"/>
        <w:rPr>
          <w:rFonts w:ascii="Arial" w:hAnsi="Arial" w:cs="Arial"/>
          <w:sz w:val="20"/>
          <w:szCs w:val="20"/>
          <w:lang w:val="en-US"/>
        </w:rPr>
      </w:pPr>
      <w:r w:rsidRPr="00EF3C62">
        <w:rPr>
          <w:rStyle w:val="Refdenotaderodap"/>
          <w:rFonts w:ascii="Arial" w:hAnsi="Arial" w:cs="Arial"/>
          <w:sz w:val="20"/>
          <w:szCs w:val="20"/>
        </w:rPr>
        <w:footnoteRef/>
      </w:r>
      <w:r w:rsidRPr="00E54701">
        <w:rPr>
          <w:rFonts w:ascii="Arial" w:hAnsi="Arial" w:cs="Arial"/>
          <w:sz w:val="20"/>
          <w:szCs w:val="20"/>
          <w:lang w:val="en-US"/>
        </w:rPr>
        <w:t xml:space="preserve"> </w:t>
      </w:r>
      <w:r w:rsidRPr="00E54701">
        <w:rPr>
          <w:rFonts w:ascii="Arial" w:hAnsi="Arial" w:cs="Arial"/>
          <w:i/>
          <w:sz w:val="20"/>
          <w:szCs w:val="20"/>
          <w:lang w:val="en-US"/>
        </w:rPr>
        <w:t xml:space="preserve">Op. cit. </w:t>
      </w:r>
      <w:r w:rsidRPr="00E54701">
        <w:rPr>
          <w:rFonts w:ascii="Arial" w:hAnsi="Arial" w:cs="Arial"/>
          <w:sz w:val="20"/>
          <w:szCs w:val="20"/>
          <w:lang w:val="en-US"/>
        </w:rPr>
        <w:t>p. 3.</w:t>
      </w:r>
    </w:p>
  </w:footnote>
  <w:footnote w:id="19">
    <w:p w:rsidR="00A02D09" w:rsidRPr="00E54701" w:rsidRDefault="00A02D09" w:rsidP="00EF3C62">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lang w:val="en-US"/>
        </w:rPr>
        <w:t xml:space="preserve"> “</w:t>
      </w:r>
      <w:r w:rsidRPr="00EF3C62">
        <w:rPr>
          <w:rFonts w:ascii="Arial" w:hAnsi="Arial" w:cs="Arial"/>
          <w:i/>
          <w:sz w:val="20"/>
          <w:szCs w:val="20"/>
          <w:lang w:val="en-US"/>
        </w:rPr>
        <w:t xml:space="preserve">VISCUSI, W. K.; VERNON, J. M.; HARRINGTON Jr., J. E. </w:t>
      </w:r>
      <w:r w:rsidRPr="00EF3C62">
        <w:rPr>
          <w:rFonts w:ascii="Arial" w:hAnsi="Arial" w:cs="Arial"/>
          <w:b/>
          <w:bCs/>
          <w:i/>
          <w:sz w:val="20"/>
          <w:szCs w:val="20"/>
          <w:lang w:val="en-US"/>
        </w:rPr>
        <w:t>Economics of regulation and antitrust</w:t>
      </w:r>
      <w:r w:rsidRPr="00EF3C62">
        <w:rPr>
          <w:rFonts w:ascii="Arial" w:hAnsi="Arial" w:cs="Arial"/>
          <w:i/>
          <w:sz w:val="20"/>
          <w:szCs w:val="20"/>
          <w:lang w:val="en-US"/>
        </w:rPr>
        <w:t xml:space="preserve">. </w:t>
      </w:r>
      <w:r w:rsidRPr="00E54701">
        <w:rPr>
          <w:rFonts w:ascii="Arial" w:hAnsi="Arial" w:cs="Arial"/>
          <w:i/>
          <w:sz w:val="20"/>
          <w:szCs w:val="20"/>
        </w:rPr>
        <w:t>4ª Ed., MIT Press: Cambridge, 2005</w:t>
      </w:r>
      <w:r w:rsidRPr="00E54701">
        <w:rPr>
          <w:rFonts w:ascii="Arial" w:hAnsi="Arial" w:cs="Arial"/>
          <w:sz w:val="20"/>
          <w:szCs w:val="20"/>
        </w:rPr>
        <w:t xml:space="preserve">”.  </w:t>
      </w:r>
    </w:p>
  </w:footnote>
  <w:footnote w:id="20">
    <w:p w:rsidR="00A02D09" w:rsidRPr="00EF3C62" w:rsidRDefault="00A02D09" w:rsidP="00EF3C62">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 xml:space="preserve">Quando os contratos que estabelecem cláusulas de exclusividades importam na </w:t>
      </w:r>
      <w:r w:rsidRPr="00EF3C62">
        <w:rPr>
          <w:rFonts w:ascii="Arial" w:hAnsi="Arial" w:cs="Arial"/>
          <w:b/>
          <w:i/>
          <w:sz w:val="20"/>
          <w:szCs w:val="20"/>
        </w:rPr>
        <w:t>redução</w:t>
      </w:r>
      <w:r w:rsidRPr="00EF3C62">
        <w:rPr>
          <w:rFonts w:ascii="Arial" w:hAnsi="Arial" w:cs="Arial"/>
          <w:i/>
          <w:sz w:val="20"/>
          <w:szCs w:val="20"/>
        </w:rPr>
        <w:t xml:space="preserve"> dos custos das operações e, por consequência, do </w:t>
      </w:r>
      <w:r w:rsidRPr="00EF3C62">
        <w:rPr>
          <w:rFonts w:ascii="Arial" w:hAnsi="Arial" w:cs="Arial"/>
          <w:b/>
          <w:i/>
          <w:sz w:val="20"/>
          <w:szCs w:val="20"/>
        </w:rPr>
        <w:t>produto final destinado ao consumidor</w:t>
      </w:r>
      <w:r w:rsidRPr="00EF3C62">
        <w:rPr>
          <w:rFonts w:ascii="Arial" w:hAnsi="Arial" w:cs="Arial"/>
          <w:i/>
          <w:sz w:val="20"/>
          <w:szCs w:val="20"/>
        </w:rPr>
        <w:t xml:space="preserve">, obviamente que o </w:t>
      </w:r>
      <w:r w:rsidRPr="00EF3C62">
        <w:rPr>
          <w:rFonts w:ascii="Arial" w:hAnsi="Arial" w:cs="Arial"/>
          <w:b/>
          <w:i/>
          <w:sz w:val="20"/>
          <w:szCs w:val="20"/>
        </w:rPr>
        <w:t>princípio da livre concorrência foi plenamente observado</w:t>
      </w:r>
      <w:r w:rsidRPr="00EF3C62">
        <w:rPr>
          <w:rFonts w:ascii="Arial" w:hAnsi="Arial" w:cs="Arial"/>
          <w:i/>
          <w:sz w:val="20"/>
          <w:szCs w:val="20"/>
        </w:rPr>
        <w:t xml:space="preserve"> e colocado em prática</w:t>
      </w:r>
      <w:r w:rsidRPr="00EF3C62">
        <w:rPr>
          <w:rFonts w:ascii="Arial" w:hAnsi="Arial" w:cs="Arial"/>
          <w:sz w:val="20"/>
          <w:szCs w:val="20"/>
        </w:rPr>
        <w:t>”.</w:t>
      </w:r>
    </w:p>
  </w:footnote>
  <w:footnote w:id="21">
    <w:p w:rsidR="00A02D09" w:rsidRPr="00EF3C62" w:rsidRDefault="00A02D09" w:rsidP="00EF3C62">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Não é incomum a situação em que a distribuidora possui o terreno, constrói o posto e o arrenda a terceiro, por meio de um contrato de compra e venda mercantil. Nesses casos, comumente o revendedor recebe capital de giro para o início das operações (Ragazzo, 2010)</w:t>
      </w:r>
      <w:r w:rsidRPr="00EF3C62">
        <w:rPr>
          <w:rFonts w:ascii="Arial" w:hAnsi="Arial" w:cs="Arial"/>
          <w:sz w:val="20"/>
          <w:szCs w:val="20"/>
        </w:rPr>
        <w:t xml:space="preserve">”.  </w:t>
      </w:r>
    </w:p>
  </w:footnote>
  <w:footnote w:id="22">
    <w:p w:rsidR="00A02D09" w:rsidRPr="00EF3C62" w:rsidRDefault="00A02D09" w:rsidP="00EF3C62">
      <w:pPr>
        <w:pStyle w:val="Textodenotaderodap"/>
        <w:jc w:val="both"/>
        <w:rPr>
          <w:rFonts w:ascii="Arial" w:hAnsi="Arial" w:cs="Arial"/>
          <w:i/>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Além desses diversos arranjos verticais, em que varia o grau de integração, há ainda os postos bandeira branca, em que os ativos pertencem ao revendedor, sendo a ele conferida total autonomia sobre o gerenciamento da revenda e permitido adquirir o combustível de mais de um distribuidor</w:t>
      </w:r>
      <w:r w:rsidRPr="00EF3C62">
        <w:rPr>
          <w:rFonts w:ascii="Arial" w:hAnsi="Arial" w:cs="Arial"/>
          <w:sz w:val="20"/>
          <w:szCs w:val="20"/>
        </w:rPr>
        <w:t>”.</w:t>
      </w:r>
    </w:p>
  </w:footnote>
  <w:footnote w:id="23">
    <w:p w:rsidR="00A02D09" w:rsidRPr="00EF3C62" w:rsidRDefault="00A02D09" w:rsidP="00EF3C62">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 xml:space="preserve">Conforme Parecer nº 06042/2006/DF/COGDC/SEAE/MF, emitido nos autos da AP nº 08012.007692/1999-11, </w:t>
      </w:r>
      <w:r w:rsidRPr="00EF3C62">
        <w:rPr>
          <w:rFonts w:ascii="Arial" w:hAnsi="Arial" w:cs="Arial"/>
          <w:b/>
          <w:i/>
          <w:sz w:val="20"/>
          <w:szCs w:val="20"/>
        </w:rPr>
        <w:t>os contratos firmados entre revendedores e distribuidores comumente estabelecem a obrigatoriedade de comercialização de volumes mínimos pelos postos revendedores</w:t>
      </w:r>
      <w:r w:rsidRPr="00EF3C62">
        <w:rPr>
          <w:rFonts w:ascii="Arial" w:hAnsi="Arial" w:cs="Arial"/>
          <w:sz w:val="20"/>
          <w:szCs w:val="20"/>
        </w:rPr>
        <w:t>”.</w:t>
      </w:r>
    </w:p>
  </w:footnote>
  <w:footnote w:id="24">
    <w:p w:rsidR="00A02D09" w:rsidRPr="00EF3C62" w:rsidRDefault="00A02D09" w:rsidP="00EF3C62">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Alternativamente, isso também se aplicaria naqueles postos em que a distribuidora é proprietária do terreno e fornece a maioria dos investimentos de maior vulto, como tanques, bem como capital de giro</w:t>
      </w:r>
      <w:r w:rsidRPr="00EF3C62">
        <w:rPr>
          <w:rFonts w:ascii="Arial" w:hAnsi="Arial" w:cs="Arial"/>
          <w:sz w:val="20"/>
          <w:szCs w:val="20"/>
        </w:rPr>
        <w:t xml:space="preserve">”.  </w:t>
      </w:r>
    </w:p>
  </w:footnote>
  <w:footnote w:id="25">
    <w:p w:rsidR="00A02D09" w:rsidRPr="00EF3C62" w:rsidRDefault="00A02D09" w:rsidP="008265F0">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Conforme veremos adiante, existem alguns casos envolvendo a fixação de preço de revenda para serem julgados no órgão de defesa da concorrência</w:t>
      </w:r>
      <w:r w:rsidRPr="00EF3C62">
        <w:rPr>
          <w:rFonts w:ascii="Arial" w:hAnsi="Arial" w:cs="Arial"/>
          <w:sz w:val="20"/>
          <w:szCs w:val="20"/>
        </w:rPr>
        <w:t xml:space="preserve">”.  </w:t>
      </w:r>
    </w:p>
  </w:footnote>
  <w:footnote w:id="26">
    <w:p w:rsidR="00A02D09" w:rsidRPr="00EF3C62" w:rsidRDefault="00A02D09" w:rsidP="005C7CA0">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Shepard (1993), apud Luciano et. all (2008), alega que imposição de preço mínimo não é política substituta perfeita para a imposição direta dos preços, pois os volumes em geral são para períodos longos e não são ajustados para variações de demanda ou condições de oferta. Consequentemente, os limites impostos devem ser baixos o suficiente para garantir que os revendedores conseguiram satisfazê-los diante de várias situações</w:t>
      </w:r>
      <w:r w:rsidRPr="00EF3C62">
        <w:rPr>
          <w:rFonts w:ascii="Arial" w:hAnsi="Arial" w:cs="Arial"/>
          <w:sz w:val="20"/>
          <w:szCs w:val="20"/>
        </w:rPr>
        <w:t>”.</w:t>
      </w:r>
    </w:p>
  </w:footnote>
  <w:footnote w:id="27">
    <w:p w:rsidR="00A02D09" w:rsidRPr="00EF3C62" w:rsidRDefault="00A02D09" w:rsidP="006E7E91">
      <w:pPr>
        <w:pStyle w:val="Textodenotaderodap"/>
        <w:jc w:val="both"/>
        <w:rPr>
          <w:rFonts w:ascii="Arial" w:hAnsi="Arial" w:cs="Arial"/>
          <w:i/>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Emitido nos autos da Averiguação Preliminar nº 08012.007692/1999-11. Disponível em: http://www1.seae.fazenda.gov.br/LITTERA/documentos_complementares/08012007692199911_Parecer_060422006.pdf. Acesso em 13/05/2013</w:t>
      </w:r>
      <w:r w:rsidRPr="00EF3C62">
        <w:rPr>
          <w:rFonts w:ascii="Arial" w:hAnsi="Arial" w:cs="Arial"/>
          <w:sz w:val="20"/>
          <w:szCs w:val="20"/>
        </w:rPr>
        <w:t>”</w:t>
      </w:r>
      <w:r w:rsidRPr="00EF3C62">
        <w:rPr>
          <w:rFonts w:ascii="Arial" w:hAnsi="Arial" w:cs="Arial"/>
          <w:i/>
          <w:sz w:val="20"/>
          <w:szCs w:val="20"/>
        </w:rPr>
        <w:t>.</w:t>
      </w:r>
    </w:p>
  </w:footnote>
  <w:footnote w:id="28">
    <w:p w:rsidR="00A02D09" w:rsidRPr="00EF3C62" w:rsidRDefault="00A02D09" w:rsidP="003826ED">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Por exemplo, se o posto tem que instalar ou não uma loja de conveniência, a saber, um espaço para comercializar outros produtos como lanches rápidos, bebidas e outros serviços. Conforme respostas das distribuidoras às diligências, não existe obrigatoriedade contratual para a oferta de serviços correlatos. A única exceção foi a Ale Combustíveis Ltda., situação em que uma das modalidades existentes de contrato é prevista a oferta de dois serviços, a saber, as lojas de conveniência e lubrificantes (Parecer nº 06042/2006/DF/COGDC/SEAE/MF)</w:t>
      </w:r>
      <w:r w:rsidRPr="00EF3C62">
        <w:rPr>
          <w:rFonts w:ascii="Arial" w:hAnsi="Arial" w:cs="Arial"/>
          <w:sz w:val="20"/>
          <w:szCs w:val="20"/>
        </w:rPr>
        <w:t xml:space="preserve">”. </w:t>
      </w:r>
    </w:p>
  </w:footnote>
  <w:footnote w:id="29">
    <w:p w:rsidR="00A02D09" w:rsidRPr="00EF3C62" w:rsidRDefault="00A02D09" w:rsidP="00E70FF3">
      <w:pPr>
        <w:pStyle w:val="Textodenotaderodap"/>
        <w:jc w:val="both"/>
        <w:rPr>
          <w:rFonts w:ascii="Arial" w:hAnsi="Arial" w:cs="Arial"/>
          <w:sz w:val="20"/>
          <w:szCs w:val="20"/>
        </w:rPr>
      </w:pPr>
      <w:r w:rsidRPr="00EF3C62">
        <w:rPr>
          <w:rStyle w:val="Refdenotaderodap"/>
          <w:rFonts w:ascii="Arial" w:hAnsi="Arial" w:cs="Arial"/>
          <w:sz w:val="20"/>
          <w:szCs w:val="20"/>
        </w:rPr>
        <w:footnoteRef/>
      </w:r>
      <w:r w:rsidRPr="00EF3C62">
        <w:rPr>
          <w:rFonts w:ascii="Arial" w:hAnsi="Arial" w:cs="Arial"/>
          <w:sz w:val="20"/>
          <w:szCs w:val="20"/>
        </w:rPr>
        <w:t xml:space="preserve"> “</w:t>
      </w:r>
      <w:r w:rsidRPr="00EF3C62">
        <w:rPr>
          <w:rFonts w:ascii="Arial" w:hAnsi="Arial" w:cs="Arial"/>
          <w:i/>
          <w:sz w:val="20"/>
          <w:szCs w:val="20"/>
        </w:rPr>
        <w:t>Segundo Nota Técnica da SDE/MJ, presente nos autos do PA nº 08012.004736/2005-42, ‘a fixação de preço de revenda ou ‘</w:t>
      </w:r>
      <w:r w:rsidRPr="00EF3C62">
        <w:rPr>
          <w:rFonts w:ascii="Arial" w:hAnsi="Arial" w:cs="Arial"/>
          <w:i/>
          <w:iCs/>
          <w:sz w:val="20"/>
          <w:szCs w:val="20"/>
        </w:rPr>
        <w:t>resale price maintenance</w:t>
      </w:r>
      <w:r w:rsidRPr="00EF3C62">
        <w:rPr>
          <w:rFonts w:ascii="Arial" w:hAnsi="Arial" w:cs="Arial"/>
          <w:i/>
          <w:sz w:val="20"/>
          <w:szCs w:val="20"/>
        </w:rPr>
        <w:t>’ (RPM) constitui modalidade de restrição vertical por meio da qual o fabricante de determinado produto controla os preços que serão cobrados pelos agentes do mercado downstream (revendedores ou distribuidores) na revenda para terceiros. A prática de RPM ser de três tipos: (i) fixação de preço mínimo de venda; (ii) fixação de preço máximo de revenda; e (iii) fixação de preço de revenda fixo. De um modo geral, os efeitos dessa prática sobre o bem-estar são considerados ambíguos pela literatura econômica, pois podem ser tanto de natureza anticompetitiva como de natureza pró-eficiência’. Disponível em: http://www.cade.gov.br/temp/D_D000000671491224.pdf. Acesso em 13/05/2013</w:t>
      </w:r>
      <w:r w:rsidRPr="00EF3C62">
        <w:rPr>
          <w:rFonts w:ascii="Arial" w:hAnsi="Arial" w:cs="Arial"/>
          <w:sz w:val="20"/>
          <w:szCs w:val="20"/>
        </w:rPr>
        <w:t>”.</w:t>
      </w:r>
    </w:p>
  </w:footnote>
  <w:footnote w:id="30">
    <w:p w:rsidR="00A02D09" w:rsidRPr="00A53833" w:rsidRDefault="00A02D09" w:rsidP="00A53833">
      <w:pPr>
        <w:pStyle w:val="Textodenotaderodap"/>
        <w:jc w:val="both"/>
        <w:rPr>
          <w:rFonts w:ascii="Arial" w:hAnsi="Arial" w:cs="Arial"/>
          <w:sz w:val="20"/>
          <w:szCs w:val="20"/>
        </w:rPr>
      </w:pPr>
      <w:r w:rsidRPr="00A53833">
        <w:rPr>
          <w:rStyle w:val="Refdenotaderodap"/>
          <w:rFonts w:ascii="Arial" w:hAnsi="Arial" w:cs="Arial"/>
          <w:sz w:val="20"/>
          <w:szCs w:val="20"/>
        </w:rPr>
        <w:footnoteRef/>
      </w:r>
      <w:r w:rsidRPr="00A53833">
        <w:rPr>
          <w:rFonts w:ascii="Arial" w:hAnsi="Arial" w:cs="Arial"/>
          <w:sz w:val="20"/>
          <w:szCs w:val="20"/>
        </w:rPr>
        <w:t xml:space="preserve"> “</w:t>
      </w:r>
      <w:r w:rsidRPr="00A53833">
        <w:rPr>
          <w:rFonts w:ascii="Arial" w:hAnsi="Arial" w:cs="Arial"/>
          <w:i/>
          <w:sz w:val="20"/>
          <w:szCs w:val="20"/>
        </w:rPr>
        <w:t>Conforme Parecer nº 41/ST/MPF/CADE/2013, de 28 de janeiro de 2013, presente nos autos do PA nº 08012.004736/2005-42, p. 12. Disponível em: http://www.cade.gov.br/temp/D_D000000722021887.pdf. Acesso em 13/05/2013</w:t>
      </w:r>
      <w:r w:rsidRPr="00A53833">
        <w:rPr>
          <w:rFonts w:ascii="Arial" w:hAnsi="Arial" w:cs="Arial"/>
          <w:sz w:val="20"/>
          <w:szCs w:val="20"/>
        </w:rPr>
        <w:t>”.</w:t>
      </w:r>
    </w:p>
  </w:footnote>
  <w:footnote w:id="31">
    <w:p w:rsidR="00A02D09" w:rsidRPr="00B42B00" w:rsidRDefault="00A02D09" w:rsidP="00B42B00">
      <w:pPr>
        <w:pStyle w:val="Textodenotaderodap"/>
        <w:jc w:val="both"/>
        <w:rPr>
          <w:rFonts w:ascii="Arial" w:hAnsi="Arial" w:cs="Arial"/>
          <w:sz w:val="20"/>
          <w:szCs w:val="20"/>
        </w:rPr>
      </w:pPr>
      <w:r w:rsidRPr="00B42B00">
        <w:rPr>
          <w:rStyle w:val="Refdenotaderodap"/>
          <w:rFonts w:ascii="Arial" w:hAnsi="Arial" w:cs="Arial"/>
          <w:sz w:val="20"/>
          <w:szCs w:val="20"/>
        </w:rPr>
        <w:footnoteRef/>
      </w:r>
      <w:r w:rsidRPr="00B42B00">
        <w:rPr>
          <w:rFonts w:ascii="Arial" w:hAnsi="Arial" w:cs="Arial"/>
          <w:sz w:val="20"/>
          <w:szCs w:val="20"/>
        </w:rPr>
        <w:t xml:space="preserve"> “</w:t>
      </w:r>
      <w:r w:rsidRPr="00B42B00">
        <w:rPr>
          <w:rFonts w:ascii="Arial" w:hAnsi="Arial" w:cs="Arial"/>
          <w:i/>
          <w:sz w:val="20"/>
          <w:szCs w:val="20"/>
        </w:rPr>
        <w:t>GONÇALVES, Priscila B. (2002). Fixação de Preços de Revenda em Contratos de Distribuição: análise dos aspectos concorrenciais. São Paulo. Editora Singular, 2002, p. 165-167</w:t>
      </w:r>
      <w:r w:rsidRPr="00B42B00">
        <w:rPr>
          <w:rFonts w:ascii="Arial" w:hAnsi="Arial" w:cs="Arial"/>
          <w:sz w:val="20"/>
          <w:szCs w:val="20"/>
        </w:rPr>
        <w:t xml:space="preserve">”. </w:t>
      </w:r>
    </w:p>
  </w:footnote>
  <w:footnote w:id="32">
    <w:p w:rsidR="00A02D09" w:rsidRPr="00B42B00" w:rsidRDefault="00A02D09" w:rsidP="00B42B00">
      <w:pPr>
        <w:pStyle w:val="Textodenotaderodap"/>
        <w:jc w:val="both"/>
        <w:rPr>
          <w:rFonts w:ascii="Arial" w:hAnsi="Arial" w:cs="Arial"/>
          <w:sz w:val="20"/>
          <w:szCs w:val="20"/>
        </w:rPr>
      </w:pPr>
      <w:r w:rsidRPr="00B42B00">
        <w:rPr>
          <w:rStyle w:val="Refdenotaderodap"/>
          <w:rFonts w:ascii="Arial" w:hAnsi="Arial" w:cs="Arial"/>
          <w:sz w:val="20"/>
          <w:szCs w:val="20"/>
        </w:rPr>
        <w:footnoteRef/>
      </w:r>
      <w:r w:rsidRPr="00B42B00">
        <w:rPr>
          <w:rFonts w:ascii="Arial" w:hAnsi="Arial" w:cs="Arial"/>
          <w:sz w:val="20"/>
          <w:szCs w:val="20"/>
        </w:rPr>
        <w:t xml:space="preserve"> “</w:t>
      </w:r>
      <w:r w:rsidRPr="00B42B00">
        <w:rPr>
          <w:rFonts w:ascii="Arial" w:hAnsi="Arial" w:cs="Arial"/>
          <w:i/>
          <w:sz w:val="20"/>
          <w:szCs w:val="20"/>
        </w:rPr>
        <w:t>Já no que tange aos efeitos positivos, ou seja, pró-eficiência, esta prática está geralmente associada à: (i) eliminação do problema da dupla marginalização; (ii) eliminação do efeito carona (free riders); (iii) preservação da imagem do produto; (iv) fortalecimento da concorrência intramarcas; (v) incentivo à entrada de novos concorrentes, tanto no mercado upstream quanto downstream; (vi) aumento da lealdade e cooperação dos distribuidores com os fornecedores; e (vii) aumento da capacidade do fornecedor de fazer frente ao poder de compra dos grandes estabelecimentos varejistas que comercializam diversas marcas, inclusive próprias (Gonçalves, 2002, p. 186/204)</w:t>
      </w:r>
      <w:r w:rsidRPr="00B42B00">
        <w:rPr>
          <w:rFonts w:ascii="Arial" w:hAnsi="Arial" w:cs="Arial"/>
          <w:sz w:val="20"/>
          <w:szCs w:val="20"/>
        </w:rPr>
        <w:t xml:space="preserve">”. </w:t>
      </w:r>
    </w:p>
  </w:footnote>
  <w:footnote w:id="33">
    <w:p w:rsidR="00A02D09" w:rsidRPr="002F48DA" w:rsidRDefault="00A02D09" w:rsidP="002F48DA">
      <w:pPr>
        <w:pStyle w:val="Textodenotaderodap"/>
        <w:jc w:val="both"/>
        <w:rPr>
          <w:rFonts w:ascii="Arial" w:hAnsi="Arial" w:cs="Arial"/>
          <w:sz w:val="20"/>
          <w:szCs w:val="20"/>
        </w:rPr>
      </w:pPr>
      <w:r w:rsidRPr="002F48DA">
        <w:rPr>
          <w:rStyle w:val="Refdenotaderodap"/>
          <w:rFonts w:ascii="Arial" w:hAnsi="Arial" w:cs="Arial"/>
          <w:sz w:val="20"/>
          <w:szCs w:val="20"/>
        </w:rPr>
        <w:footnoteRef/>
      </w:r>
      <w:r w:rsidRPr="002F48DA">
        <w:rPr>
          <w:rFonts w:ascii="Arial" w:hAnsi="Arial" w:cs="Arial"/>
          <w:sz w:val="20"/>
          <w:szCs w:val="20"/>
        </w:rPr>
        <w:t xml:space="preserve"> “</w:t>
      </w:r>
      <w:r w:rsidRPr="002F48DA">
        <w:rPr>
          <w:rFonts w:ascii="Arial" w:hAnsi="Arial" w:cs="Arial"/>
          <w:i/>
          <w:sz w:val="20"/>
          <w:szCs w:val="20"/>
        </w:rPr>
        <w:t>Como exemplos de pareceres/notas técnicas condenatórios de casos não julgados pelo Conselho Administrativo de Defesa Econômica (CADE), têm-se: (i) Parecer nº 41/ST/MPF/CADE/2013, Nota Técnica DPDE/SDE/MJ e Parecer PROCADE nº 440/2012, presentes nos autos do PA nº 08012.004736/2005-42; e (ii) Parecer nº 44/ST/PRR/CADE/2013, Parecer nº 444/2012/PROCADE/PGF/AGU e Nota Técnica DPDE/SDE/MJ, presentes nos autos do PA nº 08012.011042/2005-61. Disponível em www.cade.gov.br. Acesso em 13/05/2013</w:t>
      </w:r>
      <w:r w:rsidRPr="002F48DA">
        <w:rPr>
          <w:rFonts w:ascii="Arial" w:hAnsi="Arial" w:cs="Arial"/>
          <w:sz w:val="20"/>
          <w:szCs w:val="20"/>
        </w:rPr>
        <w:t xml:space="preserve">”. </w:t>
      </w:r>
    </w:p>
  </w:footnote>
  <w:footnote w:id="34">
    <w:p w:rsidR="00A02D09" w:rsidRPr="00361F7B" w:rsidRDefault="00A02D09" w:rsidP="00361F7B">
      <w:pPr>
        <w:pStyle w:val="Textodenotaderodap"/>
        <w:jc w:val="both"/>
        <w:rPr>
          <w:rFonts w:ascii="Arial" w:hAnsi="Arial" w:cs="Arial"/>
          <w:sz w:val="20"/>
          <w:szCs w:val="20"/>
        </w:rPr>
      </w:pPr>
      <w:r w:rsidRPr="00361F7B">
        <w:rPr>
          <w:rStyle w:val="Refdenotaderodap"/>
          <w:rFonts w:ascii="Arial" w:hAnsi="Arial" w:cs="Arial"/>
          <w:sz w:val="20"/>
          <w:szCs w:val="20"/>
        </w:rPr>
        <w:footnoteRef/>
      </w:r>
      <w:r w:rsidRPr="00361F7B">
        <w:rPr>
          <w:rFonts w:ascii="Arial" w:hAnsi="Arial" w:cs="Arial"/>
          <w:sz w:val="20"/>
          <w:szCs w:val="20"/>
        </w:rPr>
        <w:t xml:space="preserve"> “</w:t>
      </w:r>
      <w:r w:rsidRPr="00361F7B">
        <w:rPr>
          <w:rFonts w:ascii="Arial" w:hAnsi="Arial" w:cs="Arial"/>
          <w:b/>
          <w:i/>
          <w:sz w:val="20"/>
          <w:szCs w:val="20"/>
        </w:rPr>
        <w:t>Na experiência internacional existem alguns exemplos de propostas que visam mitigar os riscos dessa relação de verticalização</w:t>
      </w:r>
      <w:r w:rsidRPr="00361F7B">
        <w:rPr>
          <w:rFonts w:ascii="Arial" w:hAnsi="Arial" w:cs="Arial"/>
          <w:i/>
          <w:sz w:val="20"/>
          <w:szCs w:val="20"/>
        </w:rPr>
        <w:t xml:space="preserve">. </w:t>
      </w:r>
      <w:r w:rsidRPr="00361F7B">
        <w:rPr>
          <w:rFonts w:ascii="Arial" w:hAnsi="Arial" w:cs="Arial"/>
          <w:b/>
          <w:i/>
          <w:sz w:val="20"/>
          <w:szCs w:val="20"/>
        </w:rPr>
        <w:t>Na Austrália</w:t>
      </w:r>
      <w:r w:rsidRPr="00361F7B">
        <w:rPr>
          <w:rFonts w:ascii="Arial" w:hAnsi="Arial" w:cs="Arial"/>
          <w:i/>
          <w:sz w:val="20"/>
          <w:szCs w:val="20"/>
        </w:rPr>
        <w:t xml:space="preserve">, por exemplo, </w:t>
      </w:r>
      <w:r w:rsidRPr="00361F7B">
        <w:rPr>
          <w:rFonts w:ascii="Arial" w:hAnsi="Arial" w:cs="Arial"/>
          <w:b/>
          <w:i/>
          <w:sz w:val="20"/>
          <w:szCs w:val="20"/>
        </w:rPr>
        <w:t>o contrato de franquia é regulado, proibindo discriminação entre revendedores franqueados e revendedores de propriedade das refinarias</w:t>
      </w:r>
      <w:r w:rsidRPr="00361F7B">
        <w:rPr>
          <w:rFonts w:ascii="Arial" w:hAnsi="Arial" w:cs="Arial"/>
          <w:i/>
          <w:sz w:val="20"/>
          <w:szCs w:val="20"/>
        </w:rPr>
        <w:t xml:space="preserve">, além de obrigar o fornecimento de informações essenciais aos potencias franqueados e regras para o não rompimento por certo período, entre outras. Outras </w:t>
      </w:r>
      <w:r w:rsidRPr="00361F7B">
        <w:rPr>
          <w:rFonts w:ascii="Arial" w:hAnsi="Arial" w:cs="Arial"/>
          <w:b/>
          <w:i/>
          <w:sz w:val="20"/>
          <w:szCs w:val="20"/>
        </w:rPr>
        <w:t>jurisdições estabelecem restrições quanto à duração dos contratos de fornecimento exclusivo de combustíveis, visando reduzir a barreira à entrada no segmento downstream</w:t>
      </w:r>
      <w:r w:rsidRPr="00361F7B">
        <w:rPr>
          <w:rFonts w:ascii="Arial" w:hAnsi="Arial" w:cs="Arial"/>
          <w:i/>
          <w:sz w:val="20"/>
          <w:szCs w:val="20"/>
        </w:rPr>
        <w:t xml:space="preserve">. Por fim, na Argentina, </w:t>
      </w:r>
      <w:r w:rsidRPr="00361F7B">
        <w:rPr>
          <w:rFonts w:ascii="Arial" w:hAnsi="Arial" w:cs="Arial"/>
          <w:b/>
          <w:i/>
          <w:sz w:val="20"/>
          <w:szCs w:val="20"/>
        </w:rPr>
        <w:t>a legislação determina a compra, a qualquer tempo e a preço de mercado, dos equipamentos emprestados em comodato, pela distribuidora à revendedora; tal dispositivo tende a equilibrar a relação entre revendedores e distribuidores, atribuindo a aqueles um maior poder de barganha, ao tornar mais clara a opção entre trocar de distribuidor ou mesmo virar bandeira branca</w:t>
      </w:r>
      <w:r w:rsidRPr="00361F7B">
        <w:rPr>
          <w:rFonts w:ascii="Arial" w:hAnsi="Arial" w:cs="Arial"/>
          <w:i/>
          <w:sz w:val="20"/>
          <w:szCs w:val="20"/>
        </w:rPr>
        <w:t xml:space="preserve"> (Ragazzo, 2010, p. 36)</w:t>
      </w:r>
      <w:r w:rsidRPr="00361F7B">
        <w:rPr>
          <w:rFonts w:ascii="Arial" w:hAnsi="Arial" w:cs="Arial"/>
          <w:sz w:val="20"/>
          <w:szCs w:val="20"/>
        </w:rPr>
        <w:t>”.</w:t>
      </w:r>
    </w:p>
  </w:footnote>
  <w:footnote w:id="35">
    <w:p w:rsidR="00A02D09" w:rsidRPr="009A77BB" w:rsidRDefault="00A02D09" w:rsidP="003C00C3">
      <w:pPr>
        <w:pStyle w:val="Textodenotaderodap"/>
        <w:rPr>
          <w:rFonts w:ascii="Arial" w:hAnsi="Arial" w:cs="Arial"/>
          <w:sz w:val="20"/>
          <w:szCs w:val="20"/>
        </w:rPr>
      </w:pPr>
      <w:r w:rsidRPr="009A77BB">
        <w:rPr>
          <w:rStyle w:val="Refdenotaderodap"/>
          <w:rFonts w:ascii="Arial" w:hAnsi="Arial" w:cs="Arial"/>
          <w:sz w:val="20"/>
          <w:szCs w:val="20"/>
        </w:rPr>
        <w:footnoteRef/>
      </w:r>
      <w:r w:rsidRPr="009A77BB">
        <w:rPr>
          <w:rFonts w:ascii="Arial" w:hAnsi="Arial" w:cs="Arial"/>
          <w:sz w:val="20"/>
          <w:szCs w:val="20"/>
        </w:rPr>
        <w:t xml:space="preserve"> Disponível em &lt;</w:t>
      </w:r>
      <w:r w:rsidRPr="003C00C3">
        <w:rPr>
          <w:rFonts w:ascii="Arial" w:hAnsi="Arial" w:cs="Arial"/>
          <w:sz w:val="20"/>
          <w:szCs w:val="20"/>
        </w:rPr>
        <w:t>http://www.anp.gov.br/images/Consultas_publicas/Concluidas/2013/n8/Sugestoes_SEAEMF.pdf</w:t>
      </w:r>
      <w:r w:rsidRPr="009A77BB">
        <w:rPr>
          <w:rFonts w:ascii="Arial" w:hAnsi="Arial" w:cs="Arial"/>
          <w:sz w:val="20"/>
          <w:szCs w:val="20"/>
        </w:rPr>
        <w:t>&gt;. Acessado em 10.11.18.</w:t>
      </w:r>
    </w:p>
  </w:footnote>
  <w:footnote w:id="36">
    <w:p w:rsidR="00A02D09" w:rsidRPr="001F0A7A" w:rsidRDefault="00A02D09" w:rsidP="001F0A7A">
      <w:pPr>
        <w:pStyle w:val="Textodenotaderodap"/>
        <w:jc w:val="both"/>
        <w:rPr>
          <w:rFonts w:ascii="Arial" w:hAnsi="Arial" w:cs="Arial"/>
          <w:sz w:val="20"/>
          <w:szCs w:val="20"/>
        </w:rPr>
      </w:pPr>
      <w:r w:rsidRPr="001F0A7A">
        <w:rPr>
          <w:rStyle w:val="Refdenotaderodap"/>
          <w:rFonts w:ascii="Arial" w:hAnsi="Arial" w:cs="Arial"/>
          <w:sz w:val="20"/>
          <w:szCs w:val="20"/>
        </w:rPr>
        <w:footnoteRef/>
      </w:r>
      <w:r w:rsidRPr="001F0A7A">
        <w:rPr>
          <w:rFonts w:ascii="Arial" w:hAnsi="Arial" w:cs="Arial"/>
          <w:sz w:val="20"/>
          <w:szCs w:val="20"/>
        </w:rPr>
        <w:t xml:space="preserve"> Disponível em &lt;http://www.cade.gov.br/acesso-a-informacao/publicacoes-institucionais/contribuicoes-do-cade/contribuicoes-do-cade_medidas-28maio2018-final.pdf&gt;. Acessado em 12.11.2018.</w:t>
      </w:r>
    </w:p>
  </w:footnote>
  <w:footnote w:id="37">
    <w:p w:rsidR="00A02D09" w:rsidRPr="00F02C9B" w:rsidRDefault="00A02D09" w:rsidP="005708F6">
      <w:pPr>
        <w:pStyle w:val="Textodenotaderodap"/>
        <w:jc w:val="both"/>
        <w:rPr>
          <w:rFonts w:ascii="Arial" w:hAnsi="Arial" w:cs="Arial"/>
          <w:sz w:val="20"/>
          <w:szCs w:val="20"/>
          <w:lang w:val="en-US"/>
        </w:rPr>
      </w:pPr>
      <w:r w:rsidRPr="005708F6">
        <w:rPr>
          <w:rStyle w:val="Refdenotaderodap"/>
          <w:rFonts w:ascii="Arial" w:hAnsi="Arial" w:cs="Arial"/>
          <w:sz w:val="20"/>
          <w:szCs w:val="20"/>
        </w:rPr>
        <w:footnoteRef/>
      </w:r>
      <w:r w:rsidRPr="005708F6">
        <w:rPr>
          <w:rFonts w:ascii="Arial" w:hAnsi="Arial" w:cs="Arial"/>
          <w:sz w:val="20"/>
          <w:szCs w:val="20"/>
        </w:rPr>
        <w:t xml:space="preserve"> Representantes: PROCON do Município de Blumenau (SC) e Assembleia Legislativa do Estado de Santa Catarina e Representados: </w:t>
      </w:r>
      <w:r>
        <w:rPr>
          <w:rFonts w:ascii="Arial" w:hAnsi="Arial" w:cs="Arial"/>
          <w:sz w:val="20"/>
          <w:szCs w:val="20"/>
        </w:rPr>
        <w:t>Sindicato do Comércio varejista de Derivados de Petróleo de Blumenau – SINPEB e outros.</w:t>
      </w:r>
      <w:r w:rsidRPr="005708F6">
        <w:rPr>
          <w:rFonts w:ascii="Arial" w:hAnsi="Arial" w:cs="Arial"/>
          <w:sz w:val="20"/>
          <w:szCs w:val="20"/>
        </w:rPr>
        <w:t xml:space="preserve">, fls. 2148 a 2190. Disponível em &lt;https://sei.cade.gov.br/sei/modulos/pesquisa/md_pesq_documento_consulta_externa.php?xgSJHD3TI7Rh0CrGYtJb0A1Onc6JnUmZgGFW0zP7uM-XxuadmBmx1e-obR2-g1RY_lbcGify-tuTbkHqL_FGu1H2VMELNF5U1yCC-X-8_Be0ZVyeMczjw-vK200RXwcJ&gt;. </w:t>
      </w:r>
      <w:r w:rsidRPr="00F02C9B">
        <w:rPr>
          <w:rFonts w:ascii="Arial" w:hAnsi="Arial" w:cs="Arial"/>
          <w:sz w:val="20"/>
          <w:szCs w:val="20"/>
          <w:lang w:val="en-US"/>
        </w:rPr>
        <w:t xml:space="preserve">Acessado em 14.11.2018. </w:t>
      </w:r>
    </w:p>
  </w:footnote>
  <w:footnote w:id="38">
    <w:p w:rsidR="00A02D09" w:rsidRPr="007C474D" w:rsidRDefault="00A02D09" w:rsidP="007C474D">
      <w:pPr>
        <w:pStyle w:val="Textodenotaderodap"/>
        <w:jc w:val="both"/>
        <w:rPr>
          <w:rFonts w:ascii="Arial" w:hAnsi="Arial" w:cs="Arial"/>
          <w:b/>
          <w:sz w:val="20"/>
          <w:szCs w:val="20"/>
        </w:rPr>
      </w:pPr>
      <w:r w:rsidRPr="007C474D">
        <w:rPr>
          <w:rStyle w:val="Refdenotaderodap"/>
          <w:rFonts w:ascii="Arial" w:hAnsi="Arial" w:cs="Arial"/>
          <w:sz w:val="20"/>
          <w:szCs w:val="20"/>
        </w:rPr>
        <w:footnoteRef/>
      </w:r>
      <w:r w:rsidRPr="007C474D">
        <w:rPr>
          <w:rFonts w:ascii="Arial" w:hAnsi="Arial" w:cs="Arial"/>
          <w:sz w:val="20"/>
          <w:szCs w:val="20"/>
          <w:lang w:val="en-US"/>
        </w:rPr>
        <w:t xml:space="preserve"> “</w:t>
      </w:r>
      <w:r w:rsidRPr="007C474D">
        <w:rPr>
          <w:rFonts w:ascii="Arial" w:hAnsi="Arial" w:cs="Arial"/>
          <w:i/>
          <w:sz w:val="20"/>
          <w:szCs w:val="20"/>
          <w:lang w:val="en-US"/>
        </w:rPr>
        <w:t xml:space="preserve">‘Although the evidence indicates that vertical integration may often have procompetitive effects, in some circumstances it may reduce competition and harm consumers. Economists generally recognize four ways in which vertical integration may harm consumers by allowing firms to: (1) raise their rival’s costs; (2) evade price regulation; (3) facilitate anticompetitive coordination; and (4) make entry more difficult’ (Federal Trade Commission. </w:t>
      </w:r>
      <w:r w:rsidRPr="007C474D">
        <w:rPr>
          <w:rFonts w:ascii="Arial" w:hAnsi="Arial" w:cs="Arial"/>
          <w:b/>
          <w:i/>
          <w:sz w:val="20"/>
          <w:szCs w:val="20"/>
          <w:lang w:val="en-US"/>
        </w:rPr>
        <w:t xml:space="preserve">Gasoline Price Changes: the dynamic of supply, demand and competition. </w:t>
      </w:r>
      <w:r w:rsidRPr="007C474D">
        <w:rPr>
          <w:rFonts w:ascii="Arial" w:hAnsi="Arial" w:cs="Arial"/>
          <w:i/>
          <w:sz w:val="20"/>
          <w:szCs w:val="20"/>
        </w:rPr>
        <w:t xml:space="preserve">2005, p. 121-123. Disponível em: </w:t>
      </w:r>
      <w:hyperlink r:id="rId3" w:history="1">
        <w:r w:rsidRPr="007C474D">
          <w:rPr>
            <w:rStyle w:val="Hyperlink"/>
            <w:rFonts w:ascii="Arial" w:hAnsi="Arial" w:cs="Arial"/>
            <w:i/>
            <w:sz w:val="20"/>
            <w:szCs w:val="20"/>
          </w:rPr>
          <w:t>www.ftc.gov</w:t>
        </w:r>
      </w:hyperlink>
      <w:r w:rsidRPr="007C474D">
        <w:rPr>
          <w:rFonts w:ascii="Arial" w:hAnsi="Arial" w:cs="Arial"/>
          <w:i/>
          <w:sz w:val="20"/>
          <w:szCs w:val="20"/>
        </w:rPr>
        <w:t>. Acesso: 18 jan. 2010)</w:t>
      </w:r>
      <w:r w:rsidRPr="007C474D">
        <w:rPr>
          <w:rFonts w:ascii="Arial" w:hAnsi="Arial" w:cs="Arial"/>
          <w:sz w:val="20"/>
          <w:szCs w:val="20"/>
        </w:rPr>
        <w:t>”.</w:t>
      </w:r>
    </w:p>
  </w:footnote>
  <w:footnote w:id="39">
    <w:p w:rsidR="00A02D09" w:rsidRPr="00A67AA8" w:rsidRDefault="00A02D09" w:rsidP="00A67AA8">
      <w:pPr>
        <w:pStyle w:val="Textodenotaderodap"/>
        <w:jc w:val="both"/>
        <w:rPr>
          <w:rFonts w:ascii="Arial" w:hAnsi="Arial" w:cs="Arial"/>
          <w:sz w:val="20"/>
          <w:szCs w:val="20"/>
        </w:rPr>
      </w:pPr>
      <w:r w:rsidRPr="00A67AA8">
        <w:rPr>
          <w:rStyle w:val="Refdenotaderodap"/>
          <w:rFonts w:ascii="Arial" w:hAnsi="Arial" w:cs="Arial"/>
          <w:sz w:val="20"/>
          <w:szCs w:val="20"/>
        </w:rPr>
        <w:footnoteRef/>
      </w:r>
      <w:r w:rsidRPr="00A67AA8">
        <w:rPr>
          <w:rFonts w:ascii="Arial" w:hAnsi="Arial" w:cs="Arial"/>
          <w:sz w:val="20"/>
          <w:szCs w:val="20"/>
        </w:rPr>
        <w:t xml:space="preserve"> Requerentes: Petróleo Brasileiro S.A. e Refinaria de Petróleo Ipiranga S.A.</w:t>
      </w:r>
      <w:r>
        <w:rPr>
          <w:rFonts w:ascii="Arial" w:hAnsi="Arial" w:cs="Arial"/>
          <w:sz w:val="20"/>
          <w:szCs w:val="20"/>
        </w:rPr>
        <w:t xml:space="preserve"> Disponível em &lt;&gt;. Acessado 10.11.2018.</w:t>
      </w:r>
    </w:p>
  </w:footnote>
  <w:footnote w:id="40">
    <w:p w:rsidR="00A02D09" w:rsidRPr="000A3640" w:rsidRDefault="00A02D09" w:rsidP="000A3640">
      <w:pPr>
        <w:pStyle w:val="Textodenotaderodap"/>
        <w:jc w:val="both"/>
        <w:rPr>
          <w:rFonts w:ascii="Arial" w:hAnsi="Arial" w:cs="Arial"/>
          <w:sz w:val="20"/>
          <w:szCs w:val="20"/>
        </w:rPr>
      </w:pPr>
      <w:r w:rsidRPr="000A3640">
        <w:rPr>
          <w:rStyle w:val="Refdenotaderodap"/>
          <w:rFonts w:ascii="Arial" w:hAnsi="Arial" w:cs="Arial"/>
          <w:sz w:val="20"/>
          <w:szCs w:val="20"/>
        </w:rPr>
        <w:footnoteRef/>
      </w:r>
      <w:r w:rsidRPr="000A3640">
        <w:rPr>
          <w:rFonts w:ascii="Arial" w:hAnsi="Arial" w:cs="Arial"/>
          <w:sz w:val="20"/>
          <w:szCs w:val="20"/>
        </w:rPr>
        <w:t xml:space="preserve"> Requerentes: Petr</w:t>
      </w:r>
      <w:r>
        <w:rPr>
          <w:rFonts w:ascii="Arial" w:hAnsi="Arial" w:cs="Arial"/>
          <w:sz w:val="20"/>
          <w:szCs w:val="20"/>
        </w:rPr>
        <w:t xml:space="preserve">obrás Distribuidora S/A </w:t>
      </w:r>
      <w:r w:rsidRPr="000A3640">
        <w:rPr>
          <w:rFonts w:ascii="Arial" w:hAnsi="Arial" w:cs="Arial"/>
          <w:sz w:val="20"/>
          <w:szCs w:val="20"/>
        </w:rPr>
        <w:t xml:space="preserve">e </w:t>
      </w:r>
      <w:r>
        <w:rPr>
          <w:rFonts w:ascii="Arial" w:hAnsi="Arial" w:cs="Arial"/>
          <w:sz w:val="20"/>
          <w:szCs w:val="20"/>
        </w:rPr>
        <w:t xml:space="preserve">Agip do Brasil </w:t>
      </w:r>
      <w:r w:rsidRPr="000A3640">
        <w:rPr>
          <w:rFonts w:ascii="Arial" w:hAnsi="Arial" w:cs="Arial"/>
          <w:sz w:val="20"/>
          <w:szCs w:val="20"/>
        </w:rPr>
        <w:t>S</w:t>
      </w:r>
      <w:r>
        <w:rPr>
          <w:rFonts w:ascii="Arial" w:hAnsi="Arial" w:cs="Arial"/>
          <w:sz w:val="20"/>
          <w:szCs w:val="20"/>
        </w:rPr>
        <w:t>/</w:t>
      </w:r>
      <w:r w:rsidRPr="000A3640">
        <w:rPr>
          <w:rFonts w:ascii="Arial" w:hAnsi="Arial" w:cs="Arial"/>
          <w:sz w:val="20"/>
          <w:szCs w:val="20"/>
        </w:rPr>
        <w:t>A</w:t>
      </w:r>
      <w:r>
        <w:rPr>
          <w:rFonts w:ascii="Arial" w:hAnsi="Arial" w:cs="Arial"/>
          <w:sz w:val="20"/>
          <w:szCs w:val="20"/>
        </w:rPr>
        <w:t>.</w:t>
      </w:r>
      <w:r w:rsidRPr="000A3640">
        <w:rPr>
          <w:rFonts w:ascii="Arial" w:hAnsi="Arial" w:cs="Arial"/>
          <w:sz w:val="20"/>
          <w:szCs w:val="20"/>
        </w:rPr>
        <w:t xml:space="preserve"> Disponível em &lt;https://sei.cade.gov.br/sei/modulos/pesquisa/md_pesq_processo_exibir.php?KOXi3eEqJC73dCc3G_MH5w73G76ivtXYDDG65Jr7vK4fhNNdRnnFDgAfJTIfRn8_ywCudV1gCNGrQiNgXFAcnZvX6Js4j5AceLOUodmpprsxRJXDNHfp753VeC1rAzH7&gt;. Acessado 10.11.2018.</w:t>
      </w:r>
      <w:r>
        <w:rPr>
          <w:rFonts w:ascii="Arial" w:hAnsi="Arial" w:cs="Arial"/>
          <w:sz w:val="20"/>
          <w:szCs w:val="20"/>
        </w:rPr>
        <w:t xml:space="preserve"> Observa-se, contudo, que a íntegra do voto do Conselheiro Schuartz não se encontra disponível no </w:t>
      </w:r>
      <w:r>
        <w:rPr>
          <w:rFonts w:ascii="Arial" w:hAnsi="Arial" w:cs="Arial"/>
          <w:i/>
          <w:sz w:val="20"/>
          <w:szCs w:val="20"/>
        </w:rPr>
        <w:t xml:space="preserve">site </w:t>
      </w:r>
      <w:r>
        <w:rPr>
          <w:rFonts w:ascii="Arial" w:hAnsi="Arial" w:cs="Arial"/>
          <w:sz w:val="20"/>
          <w:szCs w:val="20"/>
        </w:rPr>
        <w:t xml:space="preserve">do E. CADE, razão pela qual deixamos de citar e destacar seus trechos mais relevantes em que os problemas competitivos associados aos contratos de exclusividade foram apresentados de forma exaustiva. </w:t>
      </w:r>
    </w:p>
  </w:footnote>
  <w:footnote w:id="41">
    <w:p w:rsidR="00A02D09" w:rsidRPr="00765904" w:rsidRDefault="00A02D09" w:rsidP="00765904">
      <w:pPr>
        <w:pStyle w:val="Textodenotaderodap"/>
        <w:jc w:val="both"/>
        <w:rPr>
          <w:rFonts w:ascii="Arial" w:hAnsi="Arial" w:cs="Arial"/>
          <w:sz w:val="20"/>
          <w:szCs w:val="20"/>
        </w:rPr>
      </w:pPr>
      <w:r w:rsidRPr="00765904">
        <w:rPr>
          <w:rStyle w:val="Refdenotaderodap"/>
          <w:rFonts w:ascii="Arial" w:hAnsi="Arial" w:cs="Arial"/>
          <w:sz w:val="20"/>
          <w:szCs w:val="20"/>
        </w:rPr>
        <w:footnoteRef/>
      </w:r>
      <w:r w:rsidRPr="00765904">
        <w:rPr>
          <w:rFonts w:ascii="Arial" w:hAnsi="Arial" w:cs="Arial"/>
          <w:sz w:val="20"/>
          <w:szCs w:val="20"/>
        </w:rPr>
        <w:t xml:space="preserve"> Disponível em &lt;https://www.conjur.com.br/2018-jul-31/semana-acoes-cartel-distribuidoras-combustivel&gt;. Acessado em 14.11.2018.</w:t>
      </w:r>
    </w:p>
  </w:footnote>
  <w:footnote w:id="42">
    <w:p w:rsidR="00A02D09" w:rsidRPr="008A1B39" w:rsidRDefault="00A02D09" w:rsidP="008A1B39">
      <w:pPr>
        <w:pStyle w:val="Textodenotaderodap"/>
        <w:jc w:val="both"/>
        <w:rPr>
          <w:rFonts w:ascii="Arial" w:hAnsi="Arial" w:cs="Arial"/>
          <w:sz w:val="20"/>
          <w:szCs w:val="20"/>
        </w:rPr>
      </w:pPr>
      <w:r w:rsidRPr="008A1B39">
        <w:rPr>
          <w:rStyle w:val="Refdenotaderodap"/>
          <w:rFonts w:ascii="Arial" w:hAnsi="Arial" w:cs="Arial"/>
          <w:sz w:val="20"/>
          <w:szCs w:val="20"/>
        </w:rPr>
        <w:footnoteRef/>
      </w:r>
      <w:r w:rsidRPr="008A1B39">
        <w:rPr>
          <w:rFonts w:ascii="Arial" w:hAnsi="Arial" w:cs="Arial"/>
          <w:sz w:val="20"/>
          <w:szCs w:val="20"/>
        </w:rPr>
        <w:t xml:space="preserve"> “</w:t>
      </w:r>
      <w:r w:rsidRPr="008A1B39">
        <w:rPr>
          <w:rFonts w:ascii="Arial" w:hAnsi="Arial" w:cs="Arial"/>
          <w:i/>
          <w:sz w:val="20"/>
          <w:szCs w:val="20"/>
        </w:rPr>
        <w:t xml:space="preserve">59. Dando continuação a esta linha de interpretação, a SG entende que existe hoje entre a distribuição e a revenda bandeirada uma interação que, para os fins de análise concorrencial, deve ser considerada como uma </w:t>
      </w:r>
      <w:r w:rsidRPr="008A1B39">
        <w:rPr>
          <w:rFonts w:ascii="Arial" w:hAnsi="Arial" w:cs="Arial"/>
          <w:b/>
          <w:i/>
          <w:sz w:val="20"/>
          <w:szCs w:val="20"/>
        </w:rPr>
        <w:t>verticalização de facto</w:t>
      </w:r>
      <w:r w:rsidRPr="008A1B39">
        <w:rPr>
          <w:rFonts w:ascii="Arial" w:hAnsi="Arial" w:cs="Arial"/>
          <w:i/>
          <w:sz w:val="20"/>
          <w:szCs w:val="20"/>
        </w:rPr>
        <w:t>. Nesse sentido, em resposta a consulta feita por esta SG, a ANP chegou a conclusão semelhante:</w:t>
      </w:r>
      <w:r>
        <w:rPr>
          <w:rFonts w:ascii="Arial" w:hAnsi="Arial" w:cs="Arial"/>
          <w:i/>
          <w:sz w:val="20"/>
          <w:szCs w:val="20"/>
        </w:rPr>
        <w:t xml:space="preserve"> ‘(...) é proibida a atuação direta das distribuidoras no mercado de revenda, por meio da operação de postos de combustíveis. Entretanto, é possível vislumbrar integração vertical entre esses agentes, ainda que de maneira indireta, em razão dos dispositivos </w:t>
      </w:r>
      <w:r>
        <w:rPr>
          <w:rFonts w:ascii="Arial" w:hAnsi="Arial" w:cs="Arial"/>
          <w:b/>
          <w:i/>
          <w:sz w:val="20"/>
          <w:szCs w:val="20"/>
        </w:rPr>
        <w:t>contratuais por eles celebrados</w:t>
      </w:r>
      <w:r>
        <w:rPr>
          <w:rFonts w:ascii="Arial" w:hAnsi="Arial" w:cs="Arial"/>
          <w:i/>
          <w:sz w:val="20"/>
          <w:szCs w:val="20"/>
        </w:rPr>
        <w:t xml:space="preserve">, bem como devido às modalidades de </w:t>
      </w:r>
      <w:r>
        <w:rPr>
          <w:rFonts w:ascii="Arial" w:hAnsi="Arial" w:cs="Arial"/>
          <w:b/>
          <w:i/>
          <w:sz w:val="20"/>
          <w:szCs w:val="20"/>
        </w:rPr>
        <w:t>compartilhamento da propriedade de ativos da revenda</w:t>
      </w:r>
      <w:r>
        <w:rPr>
          <w:rFonts w:ascii="Arial" w:hAnsi="Arial" w:cs="Arial"/>
          <w:i/>
          <w:sz w:val="20"/>
          <w:szCs w:val="20"/>
        </w:rPr>
        <w:t xml:space="preserve"> (SEI nº 0295506, pp. 7-8)</w:t>
      </w:r>
      <w:r w:rsidRPr="008A1B39">
        <w:rPr>
          <w:rFonts w:ascii="Arial" w:hAnsi="Arial" w:cs="Arial"/>
          <w:sz w:val="20"/>
          <w:szCs w:val="20"/>
        </w:rPr>
        <w:t>”.</w:t>
      </w:r>
    </w:p>
  </w:footnote>
  <w:footnote w:id="43">
    <w:p w:rsidR="00A02D09" w:rsidRPr="007D61E8" w:rsidRDefault="00A02D09" w:rsidP="007D61E8">
      <w:pPr>
        <w:pStyle w:val="Textodenotaderodap"/>
        <w:jc w:val="both"/>
        <w:rPr>
          <w:sz w:val="20"/>
          <w:szCs w:val="20"/>
        </w:rPr>
      </w:pPr>
      <w:r w:rsidRPr="007D61E8">
        <w:rPr>
          <w:rStyle w:val="Refdenotaderodap"/>
          <w:sz w:val="20"/>
          <w:szCs w:val="20"/>
        </w:rPr>
        <w:footnoteRef/>
      </w:r>
      <w:r w:rsidRPr="007D61E8">
        <w:rPr>
          <w:sz w:val="20"/>
          <w:szCs w:val="20"/>
        </w:rPr>
        <w:t xml:space="preserve"> “</w:t>
      </w:r>
      <w:r w:rsidRPr="007D61E8">
        <w:rPr>
          <w:i/>
          <w:sz w:val="20"/>
          <w:szCs w:val="20"/>
        </w:rPr>
        <w:t xml:space="preserve">62. (...) Federação Nacional do Comércio de Combustíveis e de Lubrificantes (“Fecombustíveis”), representando a categoria de revenda de combustíveis, afirmou que a sensibilidade dos postos ao preço de fornecimento de combustíveis é ‘altíssima’ e que ‘[u]ma vez que </w:t>
      </w:r>
      <w:r w:rsidRPr="007D61E8">
        <w:rPr>
          <w:b/>
          <w:i/>
          <w:sz w:val="20"/>
          <w:szCs w:val="20"/>
        </w:rPr>
        <w:t>as margens da revenda são baixíssimas</w:t>
      </w:r>
      <w:r w:rsidRPr="007D61E8">
        <w:rPr>
          <w:i/>
          <w:sz w:val="20"/>
          <w:szCs w:val="20"/>
        </w:rPr>
        <w:t xml:space="preserve">, muitas vezes </w:t>
      </w:r>
      <w:r w:rsidRPr="007D61E8">
        <w:rPr>
          <w:b/>
          <w:i/>
          <w:sz w:val="20"/>
          <w:szCs w:val="20"/>
        </w:rPr>
        <w:t>inferiores a 10%</w:t>
      </w:r>
      <w:r w:rsidRPr="007D61E8">
        <w:rPr>
          <w:i/>
          <w:sz w:val="20"/>
          <w:szCs w:val="20"/>
        </w:rPr>
        <w:t xml:space="preserve">, o fator </w:t>
      </w:r>
      <w:r w:rsidRPr="007D61E8">
        <w:rPr>
          <w:b/>
          <w:i/>
          <w:sz w:val="20"/>
          <w:szCs w:val="20"/>
        </w:rPr>
        <w:t>determinante para o sucesso ou o fracasso do revendedor é justamente o preço de aquisição junto à distribuidora</w:t>
      </w:r>
      <w:r w:rsidRPr="007D61E8">
        <w:rPr>
          <w:i/>
          <w:sz w:val="20"/>
          <w:szCs w:val="20"/>
        </w:rPr>
        <w:t>’ (SEI no 0281602)</w:t>
      </w:r>
      <w:r w:rsidRPr="007D61E8">
        <w:rPr>
          <w:sz w:val="20"/>
          <w:szCs w:val="20"/>
        </w:rPr>
        <w:t>”.</w:t>
      </w:r>
    </w:p>
  </w:footnote>
  <w:footnote w:id="44">
    <w:p w:rsidR="00A02D09" w:rsidRPr="00F0667C" w:rsidRDefault="00A02D09" w:rsidP="005F2FE5">
      <w:pPr>
        <w:pStyle w:val="Textodenotaderodap"/>
        <w:rPr>
          <w:rFonts w:ascii="Arial" w:hAnsi="Arial" w:cs="Arial"/>
          <w:sz w:val="20"/>
          <w:szCs w:val="20"/>
        </w:rPr>
      </w:pPr>
      <w:r w:rsidRPr="00F0667C">
        <w:rPr>
          <w:rStyle w:val="Refdenotaderodap"/>
          <w:rFonts w:ascii="Arial" w:hAnsi="Arial" w:cs="Arial"/>
          <w:sz w:val="20"/>
          <w:szCs w:val="20"/>
        </w:rPr>
        <w:footnoteRef/>
      </w:r>
      <w:r w:rsidRPr="00F0667C">
        <w:rPr>
          <w:rFonts w:ascii="Arial" w:hAnsi="Arial" w:cs="Arial"/>
          <w:sz w:val="20"/>
          <w:szCs w:val="20"/>
        </w:rPr>
        <w:t xml:space="preserve"> Disponível em &lt;</w:t>
      </w:r>
      <w:r w:rsidRPr="004A7AA9">
        <w:rPr>
          <w:rFonts w:ascii="Arial" w:hAnsi="Arial" w:cs="Arial"/>
          <w:sz w:val="20"/>
          <w:szCs w:val="20"/>
        </w:rPr>
        <w:t>https://sei.cade.gov.br/sei/modulos/pesquisa/md_pesq_documento_consulta_externa.php?DZ2uWeaYicbuRZEFhBt-n3BfPLlu9u7akQAh8mpB9yOYwZG_cIaIPgCmPV2LEexJauDwOKHCGeiRj-wUMaXW3wXgle9jOnXERiwoiCIyhnaUUEeUNYgxcJtVtk-o-4tQ</w:t>
      </w:r>
      <w:r w:rsidRPr="00F0667C">
        <w:rPr>
          <w:rFonts w:ascii="Arial" w:hAnsi="Arial" w:cs="Arial"/>
          <w:sz w:val="20"/>
          <w:szCs w:val="20"/>
        </w:rPr>
        <w:t>&gt;. Acessado em 07.11.2018.</w:t>
      </w:r>
    </w:p>
  </w:footnote>
  <w:footnote w:id="45">
    <w:p w:rsidR="00A02D09" w:rsidRPr="0046107E" w:rsidRDefault="00A02D09" w:rsidP="0046107E">
      <w:pPr>
        <w:pStyle w:val="Textodenotaderodap"/>
        <w:rPr>
          <w:rFonts w:ascii="Arial" w:hAnsi="Arial" w:cs="Arial"/>
          <w:sz w:val="20"/>
          <w:szCs w:val="20"/>
        </w:rPr>
      </w:pPr>
      <w:r w:rsidRPr="0046107E">
        <w:rPr>
          <w:rStyle w:val="Refdenotaderodap"/>
          <w:rFonts w:ascii="Arial" w:hAnsi="Arial" w:cs="Arial"/>
          <w:sz w:val="20"/>
          <w:szCs w:val="20"/>
        </w:rPr>
        <w:footnoteRef/>
      </w:r>
      <w:r w:rsidRPr="0046107E">
        <w:rPr>
          <w:rFonts w:ascii="Arial" w:hAnsi="Arial" w:cs="Arial"/>
          <w:sz w:val="20"/>
          <w:szCs w:val="20"/>
        </w:rPr>
        <w:t xml:space="preserve"> Disponível em &lt;https://sei.cade.gov.br/sei/modulos/pesquisa/md_pesq_processo_exibir.php?0c62g277GvPsZDAxAO1tMiVcL9FcFMR5UuJ6rLqPEJuTUu08mg6wxLt0JzWxCor9mNcMYP8UAjTVP9dxRfPBcRzz2y8r2JE-nPZSLitiIxD-J5oundb5E8CKrXYfULop&gt;. Acessado em 16.11.18.</w:t>
      </w:r>
    </w:p>
  </w:footnote>
  <w:footnote w:id="46">
    <w:p w:rsidR="00A02D09" w:rsidRPr="00A01A4E" w:rsidRDefault="00A02D09" w:rsidP="0050631F">
      <w:pPr>
        <w:pStyle w:val="Textodenotaderodap"/>
        <w:jc w:val="both"/>
        <w:rPr>
          <w:rFonts w:ascii="Arial" w:hAnsi="Arial" w:cs="Arial"/>
          <w:i/>
          <w:sz w:val="20"/>
          <w:szCs w:val="20"/>
          <w:lang w:val="en-US"/>
        </w:rPr>
      </w:pPr>
      <w:r w:rsidRPr="0050631F">
        <w:rPr>
          <w:rStyle w:val="Refdenotaderodap"/>
          <w:rFonts w:ascii="Arial" w:hAnsi="Arial" w:cs="Arial"/>
          <w:sz w:val="20"/>
          <w:szCs w:val="20"/>
        </w:rPr>
        <w:footnoteRef/>
      </w:r>
      <w:r w:rsidRPr="0050631F">
        <w:rPr>
          <w:rFonts w:ascii="Arial" w:hAnsi="Arial" w:cs="Arial"/>
          <w:sz w:val="20"/>
          <w:szCs w:val="20"/>
        </w:rPr>
        <w:t xml:space="preserve"> </w:t>
      </w:r>
      <w:r>
        <w:rPr>
          <w:rFonts w:ascii="Arial" w:hAnsi="Arial" w:cs="Arial"/>
          <w:sz w:val="20"/>
          <w:szCs w:val="20"/>
        </w:rPr>
        <w:t>“</w:t>
      </w:r>
      <w:r w:rsidRPr="00F3583C">
        <w:rPr>
          <w:rFonts w:ascii="Arial" w:hAnsi="Arial" w:cs="Arial"/>
          <w:b/>
          <w:i/>
          <w:sz w:val="20"/>
          <w:szCs w:val="20"/>
        </w:rPr>
        <w:t>Contrato Integral</w:t>
      </w:r>
      <w:r w:rsidRPr="0050631F">
        <w:rPr>
          <w:rFonts w:ascii="Arial" w:hAnsi="Arial" w:cs="Arial"/>
          <w:i/>
          <w:sz w:val="20"/>
          <w:szCs w:val="20"/>
        </w:rPr>
        <w:t xml:space="preserve"> ou CODO (</w:t>
      </w:r>
      <w:r w:rsidRPr="0050631F">
        <w:rPr>
          <w:rFonts w:ascii="Arial" w:hAnsi="Arial" w:cs="Arial"/>
          <w:b/>
          <w:i/>
          <w:sz w:val="20"/>
          <w:szCs w:val="20"/>
        </w:rPr>
        <w:t>Company Owned / Dealer Operated</w:t>
      </w:r>
      <w:r w:rsidRPr="0050631F">
        <w:rPr>
          <w:rFonts w:ascii="Arial" w:hAnsi="Arial" w:cs="Arial"/>
          <w:i/>
          <w:sz w:val="20"/>
          <w:szCs w:val="20"/>
        </w:rPr>
        <w:t xml:space="preserve">) no qual a distribuidora possui o terreno, constrói o posto e terceiriza a sua operação. Nesse caso, revendedor e distribuidora estão ligados, em geral, por </w:t>
      </w:r>
      <w:r w:rsidRPr="0050631F">
        <w:rPr>
          <w:rFonts w:ascii="Arial" w:hAnsi="Arial" w:cs="Arial"/>
          <w:b/>
          <w:i/>
          <w:sz w:val="20"/>
          <w:szCs w:val="20"/>
        </w:rPr>
        <w:t>Contratos de Comissão Mercantil</w:t>
      </w:r>
      <w:r w:rsidRPr="0050631F">
        <w:rPr>
          <w:rFonts w:ascii="Arial" w:hAnsi="Arial" w:cs="Arial"/>
          <w:i/>
          <w:sz w:val="20"/>
          <w:szCs w:val="20"/>
        </w:rPr>
        <w:t xml:space="preserve">, de </w:t>
      </w:r>
      <w:r w:rsidRPr="0050631F">
        <w:rPr>
          <w:rFonts w:ascii="Arial" w:hAnsi="Arial" w:cs="Arial"/>
          <w:b/>
          <w:i/>
          <w:sz w:val="20"/>
          <w:szCs w:val="20"/>
        </w:rPr>
        <w:t>Comodato e Locaçã</w:t>
      </w:r>
      <w:r w:rsidRPr="00F3583C">
        <w:rPr>
          <w:rFonts w:ascii="Arial" w:hAnsi="Arial" w:cs="Arial"/>
          <w:b/>
          <w:i/>
          <w:sz w:val="20"/>
          <w:szCs w:val="20"/>
        </w:rPr>
        <w:t>o</w:t>
      </w:r>
      <w:r w:rsidRPr="0050631F">
        <w:rPr>
          <w:rFonts w:ascii="Arial" w:hAnsi="Arial" w:cs="Arial"/>
          <w:i/>
          <w:sz w:val="20"/>
          <w:szCs w:val="20"/>
        </w:rPr>
        <w:t xml:space="preserve"> ou, ainda, por </w:t>
      </w:r>
      <w:r w:rsidRPr="0050631F">
        <w:rPr>
          <w:rFonts w:ascii="Arial" w:hAnsi="Arial" w:cs="Arial"/>
          <w:b/>
          <w:i/>
          <w:sz w:val="20"/>
          <w:szCs w:val="20"/>
        </w:rPr>
        <w:t>contratos de franquia</w:t>
      </w:r>
      <w:r w:rsidRPr="0050631F">
        <w:rPr>
          <w:rFonts w:ascii="Arial" w:hAnsi="Arial" w:cs="Arial"/>
          <w:i/>
          <w:sz w:val="20"/>
          <w:szCs w:val="20"/>
        </w:rPr>
        <w:t xml:space="preserve">. Em alguns casos, </w:t>
      </w:r>
      <w:r w:rsidRPr="0050631F">
        <w:rPr>
          <w:rFonts w:ascii="Arial" w:hAnsi="Arial" w:cs="Arial"/>
          <w:b/>
          <w:i/>
          <w:sz w:val="20"/>
          <w:szCs w:val="20"/>
        </w:rPr>
        <w:t>os contratos envolvem cobrança de uma tarifa em duas partes</w:t>
      </w:r>
      <w:r>
        <w:rPr>
          <w:rFonts w:ascii="Arial" w:hAnsi="Arial" w:cs="Arial"/>
          <w:i/>
          <w:sz w:val="20"/>
          <w:szCs w:val="20"/>
        </w:rPr>
        <w:t>:</w:t>
      </w:r>
      <w:r w:rsidRPr="0050631F">
        <w:rPr>
          <w:rFonts w:ascii="Arial" w:hAnsi="Arial" w:cs="Arial"/>
          <w:i/>
          <w:sz w:val="20"/>
          <w:szCs w:val="20"/>
        </w:rPr>
        <w:t xml:space="preserve"> além de </w:t>
      </w:r>
      <w:r w:rsidRPr="0050631F">
        <w:rPr>
          <w:rFonts w:ascii="Arial" w:hAnsi="Arial" w:cs="Arial"/>
          <w:b/>
          <w:i/>
          <w:sz w:val="20"/>
          <w:szCs w:val="20"/>
        </w:rPr>
        <w:t>fixar o preço no atacado</w:t>
      </w:r>
      <w:r w:rsidRPr="0050631F">
        <w:rPr>
          <w:rFonts w:ascii="Arial" w:hAnsi="Arial" w:cs="Arial"/>
          <w:i/>
          <w:sz w:val="20"/>
          <w:szCs w:val="20"/>
        </w:rPr>
        <w:t xml:space="preserve">, a </w:t>
      </w:r>
      <w:r w:rsidRPr="0050631F">
        <w:rPr>
          <w:rFonts w:ascii="Arial" w:hAnsi="Arial" w:cs="Arial"/>
          <w:b/>
          <w:i/>
          <w:sz w:val="20"/>
          <w:szCs w:val="20"/>
        </w:rPr>
        <w:t>distribuidora cobra uma taxa anual de arrendamento associada</w:t>
      </w:r>
      <w:r w:rsidRPr="0050631F">
        <w:rPr>
          <w:rFonts w:ascii="Arial" w:hAnsi="Arial" w:cs="Arial"/>
          <w:i/>
          <w:sz w:val="20"/>
          <w:szCs w:val="20"/>
        </w:rPr>
        <w:t xml:space="preserve">, muitas vezes, à </w:t>
      </w:r>
      <w:r w:rsidRPr="0050631F">
        <w:rPr>
          <w:rFonts w:ascii="Arial" w:hAnsi="Arial" w:cs="Arial"/>
          <w:b/>
          <w:i/>
          <w:sz w:val="20"/>
          <w:szCs w:val="20"/>
        </w:rPr>
        <w:t>receita liquida do posto</w:t>
      </w:r>
      <w:r w:rsidRPr="0050631F">
        <w:rPr>
          <w:rFonts w:ascii="Arial" w:hAnsi="Arial" w:cs="Arial"/>
          <w:i/>
          <w:sz w:val="20"/>
          <w:szCs w:val="20"/>
        </w:rPr>
        <w:t xml:space="preserve"> (NUNES &amp; GOMES, 2005). Em todos os casos, </w:t>
      </w:r>
      <w:r w:rsidRPr="0050631F">
        <w:rPr>
          <w:rFonts w:ascii="Arial" w:hAnsi="Arial" w:cs="Arial"/>
          <w:b/>
          <w:i/>
          <w:sz w:val="20"/>
          <w:szCs w:val="20"/>
        </w:rPr>
        <w:t>há reduzida autonomia comercial por parte do revendedor em relação à distribuidora</w:t>
      </w:r>
      <w:r>
        <w:rPr>
          <w:rFonts w:ascii="Arial" w:hAnsi="Arial" w:cs="Arial"/>
          <w:i/>
          <w:sz w:val="20"/>
          <w:szCs w:val="20"/>
        </w:rPr>
        <w:t xml:space="preserve">. </w:t>
      </w:r>
      <w:r w:rsidRPr="0050631F">
        <w:rPr>
          <w:rFonts w:ascii="Arial" w:hAnsi="Arial" w:cs="Arial"/>
          <w:b/>
          <w:i/>
          <w:sz w:val="20"/>
          <w:szCs w:val="20"/>
        </w:rPr>
        <w:t>Contrato Parcial</w:t>
      </w:r>
      <w:r w:rsidRPr="0050631F">
        <w:rPr>
          <w:rFonts w:ascii="Arial" w:hAnsi="Arial" w:cs="Arial"/>
          <w:i/>
          <w:sz w:val="20"/>
          <w:szCs w:val="20"/>
        </w:rPr>
        <w:t xml:space="preserve">, no qual o candidato a </w:t>
      </w:r>
      <w:r w:rsidRPr="0050631F">
        <w:rPr>
          <w:rFonts w:ascii="Arial" w:hAnsi="Arial" w:cs="Arial"/>
          <w:b/>
          <w:i/>
          <w:sz w:val="20"/>
          <w:szCs w:val="20"/>
        </w:rPr>
        <w:t>revendedor é dono do terreno onde a distribuidora constrói o post</w:t>
      </w:r>
      <w:r w:rsidRPr="0050631F">
        <w:rPr>
          <w:rFonts w:ascii="Arial" w:hAnsi="Arial" w:cs="Arial"/>
          <w:i/>
          <w:sz w:val="20"/>
          <w:szCs w:val="20"/>
        </w:rPr>
        <w:t xml:space="preserve">o. </w:t>
      </w:r>
      <w:r w:rsidRPr="0050631F">
        <w:rPr>
          <w:rFonts w:ascii="Arial" w:hAnsi="Arial" w:cs="Arial"/>
          <w:b/>
          <w:i/>
          <w:sz w:val="20"/>
          <w:szCs w:val="20"/>
        </w:rPr>
        <w:t xml:space="preserve">Revendedor e distribuidora firmam um Contrato de Compra e Venda Mercantil, com </w:t>
      </w:r>
      <w:r w:rsidRPr="0050631F">
        <w:rPr>
          <w:rFonts w:ascii="Arial" w:hAnsi="Arial" w:cs="Arial"/>
          <w:b/>
          <w:i/>
          <w:sz w:val="20"/>
          <w:szCs w:val="20"/>
          <w:u w:val="single"/>
        </w:rPr>
        <w:t>duração entro cinco e dez anos</w:t>
      </w:r>
      <w:r w:rsidRPr="0050631F">
        <w:rPr>
          <w:rFonts w:ascii="Arial" w:hAnsi="Arial" w:cs="Arial"/>
          <w:b/>
          <w:i/>
          <w:sz w:val="20"/>
          <w:szCs w:val="20"/>
        </w:rPr>
        <w:t xml:space="preserve"> (em geral)</w:t>
      </w:r>
      <w:r w:rsidRPr="0050631F">
        <w:rPr>
          <w:rFonts w:ascii="Arial" w:hAnsi="Arial" w:cs="Arial"/>
          <w:i/>
          <w:sz w:val="20"/>
          <w:szCs w:val="20"/>
        </w:rPr>
        <w:t xml:space="preserve">, e </w:t>
      </w:r>
      <w:r w:rsidRPr="0050631F">
        <w:rPr>
          <w:rFonts w:ascii="Arial" w:hAnsi="Arial" w:cs="Arial"/>
          <w:b/>
          <w:i/>
          <w:sz w:val="20"/>
          <w:szCs w:val="20"/>
        </w:rPr>
        <w:t>Contrato de Comodato dos equipamentos colocados à disposição do revendedor por igual prazo</w:t>
      </w:r>
      <w:r w:rsidRPr="0050631F">
        <w:rPr>
          <w:rFonts w:ascii="Arial" w:hAnsi="Arial" w:cs="Arial"/>
          <w:i/>
          <w:sz w:val="20"/>
          <w:szCs w:val="20"/>
        </w:rPr>
        <w:t xml:space="preserve">. Comumente, a distribuidora fornece capital de giro para o inicio da operação do posto, mas há </w:t>
      </w:r>
      <w:r w:rsidRPr="0050631F">
        <w:rPr>
          <w:rFonts w:ascii="Arial" w:hAnsi="Arial" w:cs="Arial"/>
          <w:b/>
          <w:i/>
          <w:sz w:val="20"/>
          <w:szCs w:val="20"/>
        </w:rPr>
        <w:t>relativa autonomia comercial por parte do revendedor</w:t>
      </w:r>
      <w:r w:rsidRPr="0050631F">
        <w:rPr>
          <w:rFonts w:ascii="Arial" w:hAnsi="Arial" w:cs="Arial"/>
          <w:i/>
          <w:sz w:val="20"/>
          <w:szCs w:val="20"/>
        </w:rPr>
        <w:t>.</w:t>
      </w:r>
      <w:r>
        <w:rPr>
          <w:rFonts w:ascii="Arial" w:hAnsi="Arial" w:cs="Arial"/>
          <w:i/>
          <w:sz w:val="20"/>
          <w:szCs w:val="20"/>
        </w:rPr>
        <w:t xml:space="preserve"> </w:t>
      </w:r>
      <w:r w:rsidRPr="00F3583C">
        <w:rPr>
          <w:rFonts w:ascii="Arial" w:hAnsi="Arial" w:cs="Arial"/>
          <w:b/>
          <w:i/>
          <w:sz w:val="20"/>
          <w:szCs w:val="20"/>
        </w:rPr>
        <w:t>Contrato</w:t>
      </w:r>
      <w:r w:rsidRPr="0050631F">
        <w:rPr>
          <w:rFonts w:ascii="Arial" w:hAnsi="Arial" w:cs="Arial"/>
          <w:i/>
          <w:sz w:val="20"/>
          <w:szCs w:val="20"/>
        </w:rPr>
        <w:t xml:space="preserve"> de Mútuo ou DO</w:t>
      </w:r>
      <w:r>
        <w:rPr>
          <w:rFonts w:ascii="Arial" w:hAnsi="Arial" w:cs="Arial"/>
          <w:i/>
          <w:sz w:val="20"/>
          <w:szCs w:val="20"/>
        </w:rPr>
        <w:t>D</w:t>
      </w:r>
      <w:r w:rsidRPr="0050631F">
        <w:rPr>
          <w:rFonts w:ascii="Arial" w:hAnsi="Arial" w:cs="Arial"/>
          <w:i/>
          <w:sz w:val="20"/>
          <w:szCs w:val="20"/>
        </w:rPr>
        <w:t>O (</w:t>
      </w:r>
      <w:r w:rsidRPr="0050631F">
        <w:rPr>
          <w:rFonts w:ascii="Arial" w:hAnsi="Arial" w:cs="Arial"/>
          <w:b/>
          <w:i/>
          <w:sz w:val="20"/>
          <w:szCs w:val="20"/>
        </w:rPr>
        <w:t>Dealer Owned / Dealer Oparated</w:t>
      </w:r>
      <w:r>
        <w:rPr>
          <w:rFonts w:ascii="Arial" w:hAnsi="Arial" w:cs="Arial"/>
          <w:i/>
          <w:sz w:val="20"/>
          <w:szCs w:val="20"/>
        </w:rPr>
        <w:t>)</w:t>
      </w:r>
      <w:r w:rsidRPr="0050631F">
        <w:rPr>
          <w:rFonts w:ascii="Arial" w:hAnsi="Arial" w:cs="Arial"/>
          <w:i/>
          <w:sz w:val="20"/>
          <w:szCs w:val="20"/>
        </w:rPr>
        <w:t xml:space="preserve">, no qual o candidato a posto </w:t>
      </w:r>
      <w:r w:rsidRPr="0050631F">
        <w:rPr>
          <w:rFonts w:ascii="Arial" w:hAnsi="Arial" w:cs="Arial"/>
          <w:b/>
          <w:i/>
          <w:sz w:val="20"/>
          <w:szCs w:val="20"/>
        </w:rPr>
        <w:t>revendedor deve possuir o terreno e os equipamentos do posto</w:t>
      </w:r>
      <w:r w:rsidRPr="0050631F">
        <w:rPr>
          <w:rFonts w:ascii="Arial" w:hAnsi="Arial" w:cs="Arial"/>
          <w:i/>
          <w:sz w:val="20"/>
          <w:szCs w:val="20"/>
        </w:rPr>
        <w:t xml:space="preserve">. Ele poderá fazer, um </w:t>
      </w:r>
      <w:r w:rsidRPr="0050631F">
        <w:rPr>
          <w:rFonts w:ascii="Arial" w:hAnsi="Arial" w:cs="Arial"/>
          <w:b/>
          <w:i/>
          <w:sz w:val="20"/>
          <w:szCs w:val="20"/>
        </w:rPr>
        <w:t>Contrato de Compra e Venda Mercantil</w:t>
      </w:r>
      <w:r w:rsidRPr="0050631F">
        <w:rPr>
          <w:rFonts w:ascii="Arial" w:hAnsi="Arial" w:cs="Arial"/>
          <w:i/>
          <w:sz w:val="20"/>
          <w:szCs w:val="20"/>
        </w:rPr>
        <w:t xml:space="preserve"> com urna distribuidora com </w:t>
      </w:r>
      <w:r w:rsidRPr="0050631F">
        <w:rPr>
          <w:rFonts w:ascii="Arial" w:hAnsi="Arial" w:cs="Arial"/>
          <w:b/>
          <w:i/>
          <w:sz w:val="20"/>
          <w:szCs w:val="20"/>
        </w:rPr>
        <w:t>cláusula de exclusividade de fornecimento e de representação da marca</w:t>
      </w:r>
      <w:r w:rsidRPr="0050631F">
        <w:rPr>
          <w:rFonts w:ascii="Arial" w:hAnsi="Arial" w:cs="Arial"/>
          <w:i/>
          <w:sz w:val="20"/>
          <w:szCs w:val="20"/>
        </w:rPr>
        <w:t xml:space="preserve">, em troca de um </w:t>
      </w:r>
      <w:r w:rsidRPr="0050631F">
        <w:rPr>
          <w:rFonts w:ascii="Arial" w:hAnsi="Arial" w:cs="Arial"/>
          <w:b/>
          <w:i/>
          <w:sz w:val="20"/>
          <w:szCs w:val="20"/>
        </w:rPr>
        <w:t>volume inicial de combustível</w:t>
      </w:r>
      <w:r w:rsidRPr="0050631F">
        <w:rPr>
          <w:rFonts w:ascii="Arial" w:hAnsi="Arial" w:cs="Arial"/>
          <w:i/>
          <w:sz w:val="20"/>
          <w:szCs w:val="20"/>
        </w:rPr>
        <w:t xml:space="preserve"> ou capital de giro. </w:t>
      </w:r>
      <w:r w:rsidRPr="0050631F">
        <w:rPr>
          <w:rFonts w:ascii="Arial" w:hAnsi="Arial" w:cs="Arial"/>
          <w:b/>
          <w:i/>
          <w:sz w:val="20"/>
          <w:szCs w:val="20"/>
        </w:rPr>
        <w:t>Contrato de Compra e Venda Mercantil</w:t>
      </w:r>
      <w:r w:rsidRPr="0050631F">
        <w:rPr>
          <w:rFonts w:ascii="Arial" w:hAnsi="Arial" w:cs="Arial"/>
          <w:i/>
          <w:sz w:val="20"/>
          <w:szCs w:val="20"/>
        </w:rPr>
        <w:t xml:space="preserve"> com prazos variados </w:t>
      </w:r>
      <w:r w:rsidRPr="0050631F">
        <w:rPr>
          <w:rFonts w:ascii="Arial" w:hAnsi="Arial" w:cs="Arial"/>
          <w:b/>
          <w:i/>
          <w:sz w:val="20"/>
          <w:szCs w:val="20"/>
        </w:rPr>
        <w:t>sem cláusula de exclusividade de fornecimento e representação da marca (adotado, em geral, por postos bandeira branca)</w:t>
      </w:r>
      <w:r w:rsidRPr="0050631F">
        <w:rPr>
          <w:rFonts w:ascii="Arial" w:hAnsi="Arial" w:cs="Arial"/>
          <w:i/>
          <w:sz w:val="20"/>
          <w:szCs w:val="20"/>
        </w:rPr>
        <w:t>.</w:t>
      </w:r>
      <w:r>
        <w:rPr>
          <w:rFonts w:ascii="Arial" w:hAnsi="Arial" w:cs="Arial"/>
          <w:i/>
          <w:sz w:val="20"/>
          <w:szCs w:val="20"/>
        </w:rPr>
        <w:t xml:space="preserve"> Uma</w:t>
      </w:r>
      <w:r w:rsidRPr="0050631F">
        <w:rPr>
          <w:rFonts w:ascii="Arial" w:hAnsi="Arial" w:cs="Arial"/>
          <w:i/>
          <w:sz w:val="20"/>
          <w:szCs w:val="20"/>
        </w:rPr>
        <w:t xml:space="preserve"> outra modalidade de relação comercial é o </w:t>
      </w:r>
      <w:r w:rsidRPr="00F3583C">
        <w:rPr>
          <w:rFonts w:ascii="Arial" w:hAnsi="Arial" w:cs="Arial"/>
          <w:b/>
          <w:i/>
          <w:sz w:val="20"/>
          <w:szCs w:val="20"/>
        </w:rPr>
        <w:t>sistema de franquia</w:t>
      </w:r>
      <w:r w:rsidRPr="0050631F">
        <w:rPr>
          <w:rFonts w:ascii="Arial" w:hAnsi="Arial" w:cs="Arial"/>
          <w:i/>
          <w:sz w:val="20"/>
          <w:szCs w:val="20"/>
        </w:rPr>
        <w:t xml:space="preserve">, no qual o empresário que administra o posto de </w:t>
      </w:r>
      <w:r w:rsidRPr="00F3583C">
        <w:rPr>
          <w:rFonts w:ascii="Arial" w:hAnsi="Arial" w:cs="Arial"/>
          <w:b/>
          <w:i/>
          <w:sz w:val="20"/>
          <w:szCs w:val="20"/>
        </w:rPr>
        <w:t>revenda é responsável pelo capital de giro do negócio e pela taxa de adesão do referido sistema</w:t>
      </w:r>
      <w:r w:rsidRPr="0050631F">
        <w:rPr>
          <w:rFonts w:ascii="Arial" w:hAnsi="Arial" w:cs="Arial"/>
          <w:i/>
          <w:sz w:val="20"/>
          <w:szCs w:val="20"/>
        </w:rPr>
        <w:t xml:space="preserve">. Os </w:t>
      </w:r>
      <w:r w:rsidRPr="00F3583C">
        <w:rPr>
          <w:rFonts w:ascii="Arial" w:hAnsi="Arial" w:cs="Arial"/>
          <w:b/>
          <w:i/>
          <w:sz w:val="20"/>
          <w:szCs w:val="20"/>
        </w:rPr>
        <w:t>ativos físicos, como terreno, tanques e bombas são de propriedade do distribuidor</w:t>
      </w:r>
      <w:r w:rsidRPr="0050631F">
        <w:rPr>
          <w:rFonts w:ascii="Arial" w:hAnsi="Arial" w:cs="Arial"/>
          <w:i/>
          <w:sz w:val="20"/>
          <w:szCs w:val="20"/>
        </w:rPr>
        <w:t xml:space="preserve">. Um dos principais focos da </w:t>
      </w:r>
      <w:r w:rsidRPr="00F3583C">
        <w:rPr>
          <w:rFonts w:ascii="Arial" w:hAnsi="Arial" w:cs="Arial"/>
          <w:b/>
          <w:i/>
          <w:sz w:val="20"/>
          <w:szCs w:val="20"/>
        </w:rPr>
        <w:t>franquia é fornecer ao franqueado treinamento especializado em técnicas operacionais nos serviços a serem prestados</w:t>
      </w:r>
      <w:r w:rsidRPr="0050631F">
        <w:rPr>
          <w:rFonts w:ascii="Arial" w:hAnsi="Arial" w:cs="Arial"/>
          <w:i/>
          <w:sz w:val="20"/>
          <w:szCs w:val="20"/>
        </w:rPr>
        <w:t xml:space="preserve">. Em geral, esse sistema estabelece um conjunto de serviços padronizados a serem ofertados ao consumidor final, tais como: venda de combustíveis, loja de conveniência, área para lavagem e troca de </w:t>
      </w:r>
      <w:r>
        <w:rPr>
          <w:rFonts w:ascii="Arial" w:hAnsi="Arial" w:cs="Arial"/>
          <w:i/>
          <w:sz w:val="20"/>
          <w:szCs w:val="20"/>
        </w:rPr>
        <w:t>ó</w:t>
      </w:r>
      <w:r w:rsidRPr="0050631F">
        <w:rPr>
          <w:rFonts w:ascii="Arial" w:hAnsi="Arial" w:cs="Arial"/>
          <w:i/>
          <w:sz w:val="20"/>
          <w:szCs w:val="20"/>
        </w:rPr>
        <w:t>leo</w:t>
      </w:r>
      <w:r>
        <w:rPr>
          <w:rFonts w:ascii="Arial" w:hAnsi="Arial" w:cs="Arial"/>
          <w:sz w:val="20"/>
          <w:szCs w:val="20"/>
        </w:rPr>
        <w:t>”</w:t>
      </w:r>
      <w:r w:rsidRPr="00F3583C">
        <w:rPr>
          <w:rFonts w:ascii="Arial" w:hAnsi="Arial" w:cs="Arial"/>
          <w:sz w:val="20"/>
          <w:szCs w:val="20"/>
        </w:rPr>
        <w:t>.</w:t>
      </w:r>
      <w:r>
        <w:rPr>
          <w:rFonts w:ascii="Arial" w:hAnsi="Arial" w:cs="Arial"/>
          <w:sz w:val="20"/>
          <w:szCs w:val="20"/>
        </w:rPr>
        <w:t xml:space="preserve"> </w:t>
      </w:r>
      <w:r w:rsidRPr="00A01A4E">
        <w:rPr>
          <w:rFonts w:ascii="Arial" w:hAnsi="Arial" w:cs="Arial"/>
          <w:sz w:val="20"/>
          <w:szCs w:val="20"/>
          <w:lang w:val="en-US"/>
        </w:rPr>
        <w:t>(Destacamos)</w:t>
      </w:r>
    </w:p>
  </w:footnote>
  <w:footnote w:id="47">
    <w:p w:rsidR="00A02D09" w:rsidRPr="009010D9" w:rsidRDefault="00A02D09" w:rsidP="008D6A86">
      <w:pPr>
        <w:pStyle w:val="Textodenotaderodap"/>
        <w:jc w:val="both"/>
        <w:rPr>
          <w:rFonts w:ascii="Arial" w:hAnsi="Arial" w:cs="Arial"/>
          <w:sz w:val="20"/>
          <w:szCs w:val="20"/>
          <w:lang w:val="en-US"/>
        </w:rPr>
      </w:pPr>
      <w:r w:rsidRPr="008D6A86">
        <w:rPr>
          <w:rStyle w:val="Refdenotaderodap"/>
          <w:rFonts w:ascii="Arial" w:hAnsi="Arial" w:cs="Arial"/>
          <w:sz w:val="20"/>
          <w:szCs w:val="20"/>
        </w:rPr>
        <w:footnoteRef/>
      </w:r>
      <w:r w:rsidRPr="008D6A86">
        <w:rPr>
          <w:rFonts w:ascii="Arial" w:hAnsi="Arial" w:cs="Arial"/>
          <w:sz w:val="20"/>
          <w:szCs w:val="20"/>
          <w:lang w:val="en-US"/>
        </w:rPr>
        <w:t xml:space="preserve"> Vide, por exemplo, “</w:t>
      </w:r>
      <w:r w:rsidRPr="008D6A86">
        <w:rPr>
          <w:rFonts w:ascii="Arial" w:hAnsi="Arial" w:cs="Arial"/>
          <w:i/>
          <w:sz w:val="20"/>
          <w:szCs w:val="20"/>
          <w:lang w:val="en-US"/>
        </w:rPr>
        <w:t>Competition Policy for Vertical Relations in Gasoline Retailing</w:t>
      </w:r>
      <w:r w:rsidRPr="008D6A86">
        <w:rPr>
          <w:rFonts w:ascii="Arial" w:hAnsi="Arial" w:cs="Arial"/>
          <w:sz w:val="20"/>
          <w:szCs w:val="20"/>
          <w:lang w:val="en-US"/>
        </w:rPr>
        <w:t>”</w:t>
      </w:r>
      <w:r>
        <w:rPr>
          <w:rFonts w:ascii="Arial" w:hAnsi="Arial" w:cs="Arial"/>
          <w:sz w:val="20"/>
          <w:szCs w:val="20"/>
          <w:lang w:val="en-US"/>
        </w:rPr>
        <w:t xml:space="preserve"> (2008) e “</w:t>
      </w:r>
      <w:r>
        <w:rPr>
          <w:rFonts w:ascii="Arial" w:hAnsi="Arial" w:cs="Arial"/>
          <w:i/>
          <w:sz w:val="20"/>
          <w:szCs w:val="20"/>
          <w:lang w:val="en-US"/>
        </w:rPr>
        <w:t>Competition in Road Fuel</w:t>
      </w:r>
      <w:r>
        <w:rPr>
          <w:rFonts w:ascii="Arial" w:hAnsi="Arial" w:cs="Arial"/>
          <w:sz w:val="20"/>
          <w:szCs w:val="20"/>
          <w:lang w:val="en-US"/>
        </w:rPr>
        <w:t>” (2013)</w:t>
      </w:r>
      <w:r w:rsidRPr="008D6A86">
        <w:rPr>
          <w:rFonts w:ascii="Arial" w:hAnsi="Arial" w:cs="Arial"/>
          <w:sz w:val="20"/>
          <w:szCs w:val="20"/>
          <w:lang w:val="en-US"/>
        </w:rPr>
        <w:t xml:space="preserve">. </w:t>
      </w:r>
      <w:r w:rsidRPr="008D6A86">
        <w:rPr>
          <w:rFonts w:ascii="Arial" w:hAnsi="Arial" w:cs="Arial"/>
          <w:sz w:val="20"/>
          <w:szCs w:val="20"/>
        </w:rPr>
        <w:t>Disponíve</w:t>
      </w:r>
      <w:r>
        <w:rPr>
          <w:rFonts w:ascii="Arial" w:hAnsi="Arial" w:cs="Arial"/>
          <w:sz w:val="20"/>
          <w:szCs w:val="20"/>
        </w:rPr>
        <w:t>is, respectivamente,</w:t>
      </w:r>
      <w:r w:rsidRPr="008D6A86">
        <w:rPr>
          <w:rFonts w:ascii="Arial" w:hAnsi="Arial" w:cs="Arial"/>
          <w:sz w:val="20"/>
          <w:szCs w:val="20"/>
        </w:rPr>
        <w:t xml:space="preserve"> em &lt;https://www.oecd.org/daf/competition/abuse/43040511.pdf&gt;</w:t>
      </w:r>
      <w:r>
        <w:rPr>
          <w:rFonts w:ascii="Arial" w:hAnsi="Arial" w:cs="Arial"/>
          <w:sz w:val="20"/>
          <w:szCs w:val="20"/>
        </w:rPr>
        <w:t xml:space="preserve"> e &lt;</w:t>
      </w:r>
      <w:r w:rsidRPr="008D6A86">
        <w:rPr>
          <w:rFonts w:ascii="Arial" w:hAnsi="Arial" w:cs="Arial"/>
          <w:sz w:val="20"/>
          <w:szCs w:val="20"/>
        </w:rPr>
        <w:t>https://www.oecd.org/competition/CompetitionInRoadFuel.pdf</w:t>
      </w:r>
      <w:r>
        <w:rPr>
          <w:rFonts w:ascii="Arial" w:hAnsi="Arial" w:cs="Arial"/>
          <w:sz w:val="20"/>
          <w:szCs w:val="20"/>
        </w:rPr>
        <w:t>&gt;</w:t>
      </w:r>
      <w:r w:rsidRPr="008D6A86">
        <w:rPr>
          <w:rFonts w:ascii="Arial" w:hAnsi="Arial" w:cs="Arial"/>
          <w:sz w:val="20"/>
          <w:szCs w:val="20"/>
        </w:rPr>
        <w:t xml:space="preserve">. </w:t>
      </w:r>
      <w:r w:rsidRPr="009010D9">
        <w:rPr>
          <w:rFonts w:ascii="Arial" w:hAnsi="Arial" w:cs="Arial"/>
          <w:sz w:val="20"/>
          <w:szCs w:val="20"/>
          <w:lang w:val="en-US"/>
        </w:rPr>
        <w:t>Acessados em 12.11.2018.</w:t>
      </w:r>
    </w:p>
  </w:footnote>
  <w:footnote w:id="48">
    <w:p w:rsidR="00A02D09" w:rsidRPr="008B3575" w:rsidRDefault="00A02D09" w:rsidP="008B3575">
      <w:pPr>
        <w:pStyle w:val="Textodenotaderodap"/>
        <w:jc w:val="both"/>
        <w:rPr>
          <w:rFonts w:ascii="Arial" w:hAnsi="Arial" w:cs="Arial"/>
          <w:sz w:val="20"/>
          <w:szCs w:val="20"/>
        </w:rPr>
      </w:pPr>
      <w:r w:rsidRPr="008B3575">
        <w:rPr>
          <w:rStyle w:val="Refdenotaderodap"/>
          <w:rFonts w:ascii="Arial" w:hAnsi="Arial" w:cs="Arial"/>
          <w:sz w:val="20"/>
          <w:szCs w:val="20"/>
        </w:rPr>
        <w:footnoteRef/>
      </w:r>
      <w:r w:rsidRPr="008B3575">
        <w:rPr>
          <w:rFonts w:ascii="Arial" w:hAnsi="Arial" w:cs="Arial"/>
          <w:sz w:val="20"/>
          <w:szCs w:val="20"/>
          <w:lang w:val="en-US"/>
        </w:rPr>
        <w:t xml:space="preserve"> Observa-se ainda que, segundo </w:t>
      </w:r>
      <w:proofErr w:type="gramStart"/>
      <w:r w:rsidRPr="008B3575">
        <w:rPr>
          <w:rFonts w:ascii="Arial" w:hAnsi="Arial" w:cs="Arial"/>
          <w:sz w:val="20"/>
          <w:szCs w:val="20"/>
          <w:lang w:val="en-US"/>
        </w:rPr>
        <w:t>a</w:t>
      </w:r>
      <w:proofErr w:type="gramEnd"/>
      <w:r w:rsidRPr="008B3575">
        <w:rPr>
          <w:rFonts w:ascii="Arial" w:hAnsi="Arial" w:cs="Arial"/>
          <w:sz w:val="20"/>
          <w:szCs w:val="20"/>
          <w:lang w:val="en-US"/>
        </w:rPr>
        <w:t xml:space="preserve"> OCDE, “</w:t>
      </w:r>
      <w:r w:rsidRPr="008B3575">
        <w:rPr>
          <w:rFonts w:ascii="Arial" w:hAnsi="Arial" w:cs="Arial"/>
          <w:i/>
          <w:sz w:val="20"/>
          <w:szCs w:val="20"/>
          <w:lang w:val="en-US"/>
        </w:rPr>
        <w:t>Opponents of mandatory vertical unbundling can support their position by appealing to the economic literature on potential gains from vertical integration. Mandatory vertical unbundling can make it impossible or at least more difficult or costly to realize economies of vertical integration, including elimination of double marginalization and curtailment of free riding</w:t>
      </w:r>
      <w:r>
        <w:rPr>
          <w:rFonts w:ascii="Arial" w:hAnsi="Arial" w:cs="Arial"/>
          <w:i/>
          <w:sz w:val="20"/>
          <w:szCs w:val="20"/>
          <w:lang w:val="en-US"/>
        </w:rPr>
        <w:t>.</w:t>
      </w:r>
      <w:r w:rsidRPr="008B3575">
        <w:rPr>
          <w:rFonts w:ascii="Arial" w:hAnsi="Arial" w:cs="Arial"/>
          <w:i/>
          <w:sz w:val="20"/>
          <w:szCs w:val="20"/>
          <w:lang w:val="en-US"/>
        </w:rPr>
        <w:t xml:space="preserve"> </w:t>
      </w:r>
      <w:r w:rsidRPr="008B3575">
        <w:rPr>
          <w:rFonts w:ascii="Arial" w:hAnsi="Arial" w:cs="Arial"/>
          <w:b/>
          <w:i/>
          <w:sz w:val="20"/>
          <w:szCs w:val="20"/>
          <w:lang w:val="en-US"/>
        </w:rPr>
        <w:t>Contractual substitutes for vertical integration may be imperfect</w:t>
      </w:r>
      <w:r w:rsidRPr="008B3575">
        <w:rPr>
          <w:rFonts w:ascii="Arial" w:hAnsi="Arial" w:cs="Arial"/>
          <w:b/>
          <w:sz w:val="20"/>
          <w:szCs w:val="20"/>
          <w:lang w:val="en-US"/>
        </w:rPr>
        <w:t xml:space="preserve">. </w:t>
      </w:r>
      <w:r w:rsidRPr="008B3575">
        <w:rPr>
          <w:rFonts w:ascii="Arial" w:hAnsi="Arial" w:cs="Arial"/>
          <w:i/>
          <w:sz w:val="20"/>
          <w:szCs w:val="20"/>
          <w:lang w:val="en-US"/>
        </w:rPr>
        <w:t xml:space="preserve">This generally applies, for example, when </w:t>
      </w:r>
      <w:r w:rsidRPr="008B3575">
        <w:rPr>
          <w:rFonts w:ascii="Arial" w:hAnsi="Arial" w:cs="Arial"/>
          <w:b/>
          <w:i/>
          <w:sz w:val="20"/>
          <w:szCs w:val="20"/>
          <w:lang w:val="en-US"/>
        </w:rPr>
        <w:t>monitoring of compliance with the terms of a contract is costly</w:t>
      </w:r>
      <w:r w:rsidRPr="008B3575">
        <w:rPr>
          <w:rFonts w:ascii="Arial" w:hAnsi="Arial" w:cs="Arial"/>
          <w:i/>
          <w:sz w:val="20"/>
          <w:szCs w:val="20"/>
          <w:lang w:val="en-US"/>
        </w:rPr>
        <w:t xml:space="preserve"> and the retailer has incentives not to comply</w:t>
      </w:r>
      <w:r w:rsidRPr="008B3575">
        <w:rPr>
          <w:rFonts w:ascii="Arial" w:hAnsi="Arial" w:cs="Arial"/>
          <w:sz w:val="20"/>
          <w:szCs w:val="20"/>
          <w:lang w:val="en-US"/>
        </w:rPr>
        <w:t xml:space="preserve">”. </w:t>
      </w:r>
      <w:r w:rsidRPr="008B3575">
        <w:rPr>
          <w:rFonts w:ascii="Arial" w:hAnsi="Arial" w:cs="Arial"/>
          <w:sz w:val="20"/>
          <w:szCs w:val="20"/>
        </w:rPr>
        <w:t>Ou seja, a verticalização decorrente dos contratos de exclusivid</w:t>
      </w:r>
      <w:r>
        <w:rPr>
          <w:rFonts w:ascii="Arial" w:hAnsi="Arial" w:cs="Arial"/>
          <w:sz w:val="20"/>
          <w:szCs w:val="20"/>
        </w:rPr>
        <w:t>ade não é tão eficiente porque acarreta custos de monitoramento.</w:t>
      </w:r>
      <w:r w:rsidRPr="008B3575">
        <w:rPr>
          <w:rFonts w:ascii="Arial" w:hAnsi="Arial" w:cs="Arial"/>
          <w:sz w:val="20"/>
          <w:szCs w:val="20"/>
        </w:rPr>
        <w:t xml:space="preserve"> </w:t>
      </w:r>
    </w:p>
  </w:footnote>
  <w:footnote w:id="49">
    <w:p w:rsidR="00A02D09" w:rsidRPr="00B71519" w:rsidRDefault="00A02D09" w:rsidP="00DF6D18">
      <w:pPr>
        <w:pStyle w:val="Textodenotaderodap"/>
        <w:jc w:val="both"/>
        <w:rPr>
          <w:rFonts w:ascii="Arial" w:hAnsi="Arial" w:cs="Arial"/>
          <w:i/>
          <w:sz w:val="20"/>
          <w:szCs w:val="20"/>
          <w:lang w:val="en-US"/>
        </w:rPr>
      </w:pPr>
      <w:r w:rsidRPr="00DF6D18">
        <w:rPr>
          <w:rStyle w:val="Refdenotaderodap"/>
          <w:rFonts w:ascii="Arial" w:hAnsi="Arial" w:cs="Arial"/>
          <w:sz w:val="20"/>
          <w:szCs w:val="20"/>
        </w:rPr>
        <w:footnoteRef/>
      </w:r>
      <w:r w:rsidRPr="00DF6D18">
        <w:rPr>
          <w:rFonts w:ascii="Arial" w:hAnsi="Arial" w:cs="Arial"/>
          <w:sz w:val="20"/>
          <w:szCs w:val="20"/>
          <w:lang w:val="en-US"/>
        </w:rPr>
        <w:t xml:space="preserve"> “</w:t>
      </w:r>
      <w:r w:rsidRPr="00DF6D18">
        <w:rPr>
          <w:rFonts w:ascii="Arial" w:hAnsi="Arial" w:cs="Arial"/>
          <w:i/>
          <w:sz w:val="20"/>
          <w:szCs w:val="20"/>
          <w:lang w:val="en-US"/>
        </w:rPr>
        <w:t>Relationships between refiners and retailers are reportedly contentious in many jurisdictions. One element that can create tension is incomplete contracting between retailers and refiners. Complications can arise from local market power at the retail level, long exclusive supply agreements, and contrasting interpretations of franchise agreements</w:t>
      </w:r>
      <w:r w:rsidRPr="00DF6D18">
        <w:rPr>
          <w:rFonts w:ascii="Arial" w:hAnsi="Arial" w:cs="Arial"/>
          <w:sz w:val="20"/>
          <w:szCs w:val="20"/>
          <w:lang w:val="en-US"/>
        </w:rPr>
        <w:t>”.</w:t>
      </w:r>
      <w:r>
        <w:rPr>
          <w:rFonts w:ascii="Arial" w:hAnsi="Arial" w:cs="Arial"/>
          <w:sz w:val="20"/>
          <w:szCs w:val="20"/>
          <w:lang w:val="en-US"/>
        </w:rPr>
        <w:t xml:space="preserve"> </w:t>
      </w:r>
      <w:r>
        <w:rPr>
          <w:rFonts w:ascii="Arial" w:hAnsi="Arial" w:cs="Arial"/>
          <w:i/>
          <w:sz w:val="20"/>
          <w:szCs w:val="20"/>
          <w:lang w:val="en-US"/>
        </w:rPr>
        <w:t xml:space="preserve">In </w:t>
      </w:r>
      <w:r>
        <w:rPr>
          <w:rFonts w:ascii="Arial" w:hAnsi="Arial" w:cs="Arial"/>
          <w:sz w:val="20"/>
          <w:szCs w:val="20"/>
          <w:lang w:val="en-US"/>
        </w:rPr>
        <w:t xml:space="preserve">OCDE, </w:t>
      </w:r>
      <w:r w:rsidRPr="008D6A86">
        <w:rPr>
          <w:rFonts w:ascii="Arial" w:hAnsi="Arial" w:cs="Arial"/>
          <w:sz w:val="20"/>
          <w:szCs w:val="20"/>
          <w:lang w:val="en-US"/>
        </w:rPr>
        <w:t>“</w:t>
      </w:r>
      <w:r w:rsidRPr="008D6A86">
        <w:rPr>
          <w:rFonts w:ascii="Arial" w:hAnsi="Arial" w:cs="Arial"/>
          <w:i/>
          <w:sz w:val="20"/>
          <w:szCs w:val="20"/>
          <w:lang w:val="en-US"/>
        </w:rPr>
        <w:t>Competition Policy for Vertical Relations in Gasoline Retailing</w:t>
      </w:r>
      <w:r w:rsidRPr="008D6A86">
        <w:rPr>
          <w:rFonts w:ascii="Arial" w:hAnsi="Arial" w:cs="Arial"/>
          <w:sz w:val="20"/>
          <w:szCs w:val="20"/>
          <w:lang w:val="en-US"/>
        </w:rPr>
        <w:t>”</w:t>
      </w:r>
      <w:r>
        <w:rPr>
          <w:rFonts w:ascii="Arial" w:hAnsi="Arial" w:cs="Arial"/>
          <w:sz w:val="20"/>
          <w:szCs w:val="20"/>
          <w:lang w:val="en-US"/>
        </w:rPr>
        <w:t xml:space="preserve">. </w:t>
      </w:r>
      <w:r w:rsidRPr="00B71519">
        <w:rPr>
          <w:rFonts w:ascii="Arial" w:hAnsi="Arial" w:cs="Arial"/>
          <w:i/>
          <w:sz w:val="20"/>
          <w:szCs w:val="20"/>
          <w:lang w:val="en-US"/>
        </w:rPr>
        <w:t>Op. cit.</w:t>
      </w:r>
      <w:r>
        <w:rPr>
          <w:rFonts w:ascii="Arial" w:hAnsi="Arial" w:cs="Arial"/>
          <w:i/>
          <w:sz w:val="20"/>
          <w:szCs w:val="20"/>
          <w:lang w:val="en-US"/>
        </w:rPr>
        <w:t xml:space="preserve">, </w:t>
      </w:r>
      <w:r w:rsidRPr="00B71519">
        <w:rPr>
          <w:rFonts w:ascii="Arial" w:hAnsi="Arial" w:cs="Arial"/>
          <w:sz w:val="20"/>
          <w:szCs w:val="20"/>
          <w:lang w:val="en-US"/>
        </w:rPr>
        <w:t>p. 7</w:t>
      </w:r>
      <w:r>
        <w:rPr>
          <w:rFonts w:ascii="Arial" w:hAnsi="Arial" w:cs="Arial"/>
          <w:sz w:val="20"/>
          <w:szCs w:val="20"/>
          <w:lang w:val="en-US"/>
        </w:rPr>
        <w:t>.</w:t>
      </w:r>
    </w:p>
  </w:footnote>
  <w:footnote w:id="50">
    <w:p w:rsidR="00A02D09" w:rsidRPr="002C6F2A" w:rsidRDefault="00A02D09" w:rsidP="00E54DE8">
      <w:pPr>
        <w:pStyle w:val="Textodenotaderodap"/>
        <w:jc w:val="both"/>
        <w:rPr>
          <w:rFonts w:ascii="Arial" w:hAnsi="Arial" w:cs="Arial"/>
          <w:i/>
          <w:sz w:val="20"/>
          <w:szCs w:val="20"/>
          <w:lang w:val="en-US"/>
        </w:rPr>
      </w:pPr>
      <w:r w:rsidRPr="002C6F2A">
        <w:rPr>
          <w:rStyle w:val="Refdenotaderodap"/>
          <w:rFonts w:ascii="Arial" w:hAnsi="Arial" w:cs="Arial"/>
          <w:sz w:val="20"/>
          <w:szCs w:val="20"/>
        </w:rPr>
        <w:footnoteRef/>
      </w:r>
      <w:r>
        <w:rPr>
          <w:rFonts w:ascii="Arial" w:hAnsi="Arial" w:cs="Arial"/>
          <w:sz w:val="20"/>
          <w:szCs w:val="20"/>
          <w:lang w:val="en-US"/>
        </w:rPr>
        <w:t xml:space="preserve"> </w:t>
      </w:r>
      <w:r w:rsidRPr="002C6F2A">
        <w:rPr>
          <w:rFonts w:ascii="Arial" w:hAnsi="Arial" w:cs="Arial"/>
          <w:sz w:val="20"/>
          <w:szCs w:val="20"/>
          <w:lang w:val="en-US"/>
        </w:rPr>
        <w:t>“</w:t>
      </w:r>
      <w:r w:rsidRPr="002C6F2A">
        <w:rPr>
          <w:rFonts w:ascii="Arial" w:hAnsi="Arial" w:cs="Arial"/>
          <w:i/>
          <w:sz w:val="20"/>
          <w:szCs w:val="20"/>
          <w:lang w:val="en-US"/>
        </w:rPr>
        <w:t>Unbundling retail gasoline from refineries has often been promoted as a remedy for inefficiencies and market power. (…) In some instances, refiners explicitly offer lower woholesale prices in certain areas because competition is declared to be more intense in these regions</w:t>
      </w:r>
      <w:r w:rsidRPr="002C6F2A">
        <w:rPr>
          <w:rFonts w:ascii="Arial" w:hAnsi="Arial" w:cs="Arial"/>
          <w:sz w:val="20"/>
          <w:szCs w:val="20"/>
          <w:lang w:val="en-US"/>
        </w:rPr>
        <w:t xml:space="preserve">”. </w:t>
      </w:r>
      <w:r w:rsidRPr="002C6F2A">
        <w:rPr>
          <w:rFonts w:ascii="Arial" w:hAnsi="Arial" w:cs="Arial"/>
          <w:i/>
          <w:sz w:val="20"/>
          <w:szCs w:val="20"/>
          <w:lang w:val="en-US"/>
        </w:rPr>
        <w:t xml:space="preserve">In </w:t>
      </w:r>
      <w:r w:rsidRPr="002C6F2A">
        <w:rPr>
          <w:rFonts w:ascii="Arial" w:hAnsi="Arial" w:cs="Arial"/>
          <w:sz w:val="20"/>
          <w:szCs w:val="20"/>
          <w:lang w:val="en-US"/>
        </w:rPr>
        <w:t>OCDE, “</w:t>
      </w:r>
      <w:r w:rsidRPr="002C6F2A">
        <w:rPr>
          <w:rFonts w:ascii="Arial" w:hAnsi="Arial" w:cs="Arial"/>
          <w:i/>
          <w:sz w:val="20"/>
          <w:szCs w:val="20"/>
          <w:lang w:val="en-US"/>
        </w:rPr>
        <w:t>Competition Policy for Vertical Relations in Gasoline Retailing</w:t>
      </w:r>
      <w:r w:rsidRPr="002C6F2A">
        <w:rPr>
          <w:rFonts w:ascii="Arial" w:hAnsi="Arial" w:cs="Arial"/>
          <w:sz w:val="20"/>
          <w:szCs w:val="20"/>
          <w:lang w:val="en-US"/>
        </w:rPr>
        <w:t xml:space="preserve">”. </w:t>
      </w:r>
      <w:r w:rsidRPr="002C6F2A">
        <w:rPr>
          <w:rFonts w:ascii="Arial" w:hAnsi="Arial" w:cs="Arial"/>
          <w:i/>
          <w:sz w:val="20"/>
          <w:szCs w:val="20"/>
          <w:lang w:val="en-US"/>
        </w:rPr>
        <w:t xml:space="preserve">Op. cit., </w:t>
      </w:r>
      <w:r w:rsidRPr="002C6F2A">
        <w:rPr>
          <w:rFonts w:ascii="Arial" w:hAnsi="Arial" w:cs="Arial"/>
          <w:sz w:val="20"/>
          <w:szCs w:val="20"/>
          <w:lang w:val="en-US"/>
        </w:rPr>
        <w:t>p. 17 e 19.</w:t>
      </w:r>
    </w:p>
  </w:footnote>
  <w:footnote w:id="51">
    <w:p w:rsidR="00A02D09" w:rsidRPr="00A01A4E" w:rsidRDefault="00A02D09" w:rsidP="00B71519">
      <w:pPr>
        <w:pStyle w:val="Textodenotaderodap"/>
        <w:jc w:val="both"/>
        <w:rPr>
          <w:rFonts w:ascii="Arial" w:hAnsi="Arial" w:cs="Arial"/>
          <w:i/>
          <w:sz w:val="20"/>
          <w:szCs w:val="20"/>
        </w:rPr>
      </w:pPr>
      <w:r w:rsidRPr="00B71519">
        <w:rPr>
          <w:rStyle w:val="Refdenotaderodap"/>
          <w:sz w:val="20"/>
          <w:szCs w:val="20"/>
        </w:rPr>
        <w:footnoteRef/>
      </w:r>
      <w:r w:rsidRPr="00B71519">
        <w:rPr>
          <w:sz w:val="20"/>
          <w:szCs w:val="20"/>
          <w:lang w:val="en-US"/>
        </w:rPr>
        <w:t xml:space="preserve"> </w:t>
      </w:r>
      <w:r w:rsidRPr="00B71519">
        <w:rPr>
          <w:rFonts w:ascii="Arial" w:hAnsi="Arial" w:cs="Arial"/>
          <w:i/>
          <w:sz w:val="20"/>
          <w:szCs w:val="20"/>
          <w:lang w:val="en-US"/>
        </w:rPr>
        <w:t xml:space="preserve">In </w:t>
      </w:r>
      <w:r w:rsidRPr="00B71519">
        <w:rPr>
          <w:rFonts w:ascii="Arial" w:hAnsi="Arial" w:cs="Arial"/>
          <w:sz w:val="20"/>
          <w:szCs w:val="20"/>
          <w:lang w:val="en-US"/>
        </w:rPr>
        <w:t>OCDE, “</w:t>
      </w:r>
      <w:r w:rsidRPr="00B71519">
        <w:rPr>
          <w:rFonts w:ascii="Arial" w:hAnsi="Arial" w:cs="Arial"/>
          <w:i/>
          <w:sz w:val="20"/>
          <w:szCs w:val="20"/>
          <w:lang w:val="en-US"/>
        </w:rPr>
        <w:t>Competition Policy for Vertical Relations in Gasoline Retailing</w:t>
      </w:r>
      <w:r w:rsidRPr="00B71519">
        <w:rPr>
          <w:rFonts w:ascii="Arial" w:hAnsi="Arial" w:cs="Arial"/>
          <w:sz w:val="20"/>
          <w:szCs w:val="20"/>
          <w:lang w:val="en-US"/>
        </w:rPr>
        <w:t xml:space="preserve">”. </w:t>
      </w:r>
      <w:r w:rsidRPr="00A01A4E">
        <w:rPr>
          <w:rFonts w:ascii="Arial" w:hAnsi="Arial" w:cs="Arial"/>
          <w:i/>
          <w:sz w:val="20"/>
          <w:szCs w:val="20"/>
        </w:rPr>
        <w:t xml:space="preserve">Op. cit., </w:t>
      </w:r>
      <w:r w:rsidRPr="00A01A4E">
        <w:rPr>
          <w:rFonts w:ascii="Arial" w:hAnsi="Arial" w:cs="Arial"/>
          <w:sz w:val="20"/>
          <w:szCs w:val="20"/>
        </w:rPr>
        <w:t>p. 10.</w:t>
      </w:r>
    </w:p>
    <w:p w:rsidR="00A02D09" w:rsidRPr="00A01A4E" w:rsidRDefault="00A02D09">
      <w:pPr>
        <w:pStyle w:val="Textodenotaderodap"/>
      </w:pPr>
    </w:p>
  </w:footnote>
  <w:footnote w:id="52">
    <w:p w:rsidR="00A02D09" w:rsidRPr="00F0667C" w:rsidRDefault="00A02D09" w:rsidP="00A94197">
      <w:pPr>
        <w:pStyle w:val="Textodenotaderodap"/>
        <w:rPr>
          <w:rFonts w:ascii="Arial" w:hAnsi="Arial" w:cs="Arial"/>
          <w:sz w:val="20"/>
          <w:szCs w:val="20"/>
        </w:rPr>
      </w:pPr>
      <w:r w:rsidRPr="00F0667C">
        <w:rPr>
          <w:rStyle w:val="Refdenotaderodap"/>
          <w:rFonts w:ascii="Arial" w:hAnsi="Arial" w:cs="Arial"/>
          <w:sz w:val="20"/>
          <w:szCs w:val="20"/>
        </w:rPr>
        <w:footnoteRef/>
      </w:r>
      <w:r w:rsidRPr="007C474D">
        <w:rPr>
          <w:rFonts w:ascii="Arial" w:hAnsi="Arial" w:cs="Arial"/>
          <w:sz w:val="20"/>
          <w:szCs w:val="20"/>
        </w:rPr>
        <w:t xml:space="preserve"> Disponível em &lt;https://sei.cade.gov.br/sei/modulos/pesquisa/md_pesq_documento_consulta_externa.php?DZ2uWeaYicbuRZEFhBt-n3BfPLlu9u7akQAh8mpB9yOYwZG_cIaIPgCmPV2LEexJauDwOKHCGeiRj-wUMaXW3wXgle9jOnXERiwoiCIyhnaUUEeUNYgxcJtVtk-o-4tQ&gt;. </w:t>
      </w:r>
      <w:r w:rsidRPr="00F0667C">
        <w:rPr>
          <w:rFonts w:ascii="Arial" w:hAnsi="Arial" w:cs="Arial"/>
          <w:sz w:val="20"/>
          <w:szCs w:val="20"/>
        </w:rPr>
        <w:t>Acessado em 07.11.2018.</w:t>
      </w:r>
      <w:r>
        <w:rPr>
          <w:rFonts w:ascii="Arial" w:hAnsi="Arial" w:cs="Arial"/>
          <w:sz w:val="20"/>
          <w:szCs w:val="20"/>
        </w:rPr>
        <w:t xml:space="preserve"> p. 861-872</w:t>
      </w:r>
    </w:p>
  </w:footnote>
  <w:footnote w:id="53">
    <w:p w:rsidR="00A02D09" w:rsidRPr="00797DF1" w:rsidRDefault="00A02D09" w:rsidP="00797DF1">
      <w:pPr>
        <w:pStyle w:val="Textodenotaderodap"/>
        <w:jc w:val="both"/>
        <w:rPr>
          <w:rFonts w:ascii="Arial" w:hAnsi="Arial" w:cs="Arial"/>
          <w:sz w:val="20"/>
          <w:szCs w:val="20"/>
        </w:rPr>
      </w:pPr>
      <w:r w:rsidRPr="00797DF1">
        <w:rPr>
          <w:rStyle w:val="Refdenotaderodap"/>
          <w:rFonts w:ascii="Arial" w:hAnsi="Arial" w:cs="Arial"/>
          <w:sz w:val="20"/>
          <w:szCs w:val="20"/>
        </w:rPr>
        <w:footnoteRef/>
      </w:r>
      <w:r w:rsidRPr="00797DF1">
        <w:rPr>
          <w:rFonts w:ascii="Arial" w:hAnsi="Arial" w:cs="Arial"/>
          <w:sz w:val="20"/>
          <w:szCs w:val="20"/>
        </w:rPr>
        <w:t xml:space="preserve"> SOARES, S.S.S; SAES, M.S.M, e PAULILLO, L.F.O. </w:t>
      </w:r>
      <w:r w:rsidRPr="00797DF1">
        <w:rPr>
          <w:rFonts w:ascii="Arial" w:hAnsi="Arial" w:cs="Arial"/>
          <w:i/>
          <w:sz w:val="20"/>
          <w:szCs w:val="20"/>
        </w:rPr>
        <w:t>Formas Plurais no Setor de Distribuição de Combustível Automotivo Brasileiro: avaliação do perfil e estabilidade das governanças plurais no Estado de São Paulo.</w:t>
      </w:r>
      <w:r w:rsidRPr="00797DF1">
        <w:rPr>
          <w:rFonts w:ascii="Arial" w:hAnsi="Arial" w:cs="Arial"/>
          <w:sz w:val="20"/>
          <w:szCs w:val="20"/>
        </w:rPr>
        <w:t xml:space="preserve"> </w:t>
      </w:r>
      <w:r>
        <w:rPr>
          <w:rFonts w:ascii="Arial" w:hAnsi="Arial" w:cs="Arial"/>
          <w:sz w:val="20"/>
          <w:szCs w:val="20"/>
        </w:rPr>
        <w:t>Disponível em &lt;</w:t>
      </w:r>
      <w:r w:rsidRPr="00D5125D">
        <w:rPr>
          <w:rFonts w:ascii="Arial" w:hAnsi="Arial" w:cs="Arial"/>
          <w:sz w:val="20"/>
          <w:szCs w:val="20"/>
        </w:rPr>
        <w:t>http://www.scielo.br/scielo.php?pid=S0104-530X2015000400861&amp;script=sci_abstract&amp;tlng=pt</w:t>
      </w:r>
      <w:r>
        <w:rPr>
          <w:rFonts w:ascii="Arial" w:hAnsi="Arial" w:cs="Arial"/>
          <w:sz w:val="20"/>
          <w:szCs w:val="20"/>
        </w:rPr>
        <w:t>&gt;. Acessado em 12.11.2018.</w:t>
      </w:r>
    </w:p>
  </w:footnote>
  <w:footnote w:id="54">
    <w:p w:rsidR="00A02D09" w:rsidRPr="00A828BA" w:rsidRDefault="00A02D09" w:rsidP="009D0630">
      <w:pPr>
        <w:pStyle w:val="Textodenotaderodap"/>
        <w:jc w:val="both"/>
      </w:pPr>
      <w:r w:rsidRPr="009D0630">
        <w:rPr>
          <w:rStyle w:val="Refdenotaderodap"/>
          <w:rFonts w:ascii="Arial" w:hAnsi="Arial" w:cs="Arial"/>
          <w:sz w:val="20"/>
          <w:szCs w:val="20"/>
        </w:rPr>
        <w:footnoteRef/>
      </w:r>
      <w:r w:rsidRPr="009D0630">
        <w:rPr>
          <w:rFonts w:ascii="Arial" w:hAnsi="Arial" w:cs="Arial"/>
          <w:sz w:val="20"/>
          <w:szCs w:val="20"/>
        </w:rPr>
        <w:t xml:space="preserve"> </w:t>
      </w:r>
      <w:r w:rsidRPr="00A828BA">
        <w:rPr>
          <w:rFonts w:ascii="Arial" w:hAnsi="Arial" w:cs="Arial"/>
          <w:sz w:val="20"/>
          <w:szCs w:val="20"/>
        </w:rPr>
        <w:t>Disponível em &lt;</w:t>
      </w:r>
      <w:r w:rsidR="005B4D49" w:rsidRPr="00A828BA">
        <w:rPr>
          <w:rFonts w:ascii="Arial" w:hAnsi="Arial" w:cs="Arial"/>
          <w:color w:val="000000" w:themeColor="text1"/>
          <w:sz w:val="20"/>
          <w:szCs w:val="20"/>
          <w:u w:val="single"/>
        </w:rPr>
        <w:t>http://www.anp.gov.br/precos-e-defesa-da-concorrencia/precos/infopreco</w:t>
      </w:r>
      <w:r w:rsidRPr="00A828BA">
        <w:rPr>
          <w:rFonts w:ascii="Arial" w:hAnsi="Arial" w:cs="Arial"/>
          <w:sz w:val="20"/>
          <w:szCs w:val="20"/>
        </w:rPr>
        <w:t>&gt;. Acessado em 17.11.18</w:t>
      </w:r>
      <w:r w:rsidRPr="00A828BA">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A6601"/>
    <w:multiLevelType w:val="hybridMultilevel"/>
    <w:tmpl w:val="1F042BB2"/>
    <w:lvl w:ilvl="0" w:tplc="D13A2670">
      <w:start w:val="1"/>
      <w:numFmt w:val="decimal"/>
      <w:lvlText w:val="%1."/>
      <w:lvlJc w:val="left"/>
      <w:pPr>
        <w:ind w:left="0" w:firstLine="0"/>
      </w:pPr>
      <w:rPr>
        <w:rFonts w:ascii="Times New Roman" w:hAnsi="Times New Roman" w:cs="Times New Roman" w:hint="default"/>
        <w:sz w:val="24"/>
        <w:szCs w:val="24"/>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1412290C"/>
    <w:multiLevelType w:val="hybridMultilevel"/>
    <w:tmpl w:val="D0AC0002"/>
    <w:lvl w:ilvl="0" w:tplc="0416001B">
      <w:start w:val="1"/>
      <w:numFmt w:val="lowerRoman"/>
      <w:lvlText w:val="%1."/>
      <w:lvlJc w:val="right"/>
      <w:pPr>
        <w:ind w:left="2136" w:hanging="360"/>
      </w:pPr>
    </w:lvl>
    <w:lvl w:ilvl="1" w:tplc="04160019" w:tentative="1">
      <w:start w:val="1"/>
      <w:numFmt w:val="lowerLetter"/>
      <w:lvlText w:val="%2."/>
      <w:lvlJc w:val="left"/>
      <w:pPr>
        <w:ind w:left="2856" w:hanging="360"/>
      </w:pPr>
    </w:lvl>
    <w:lvl w:ilvl="2" w:tplc="0416001B" w:tentative="1">
      <w:start w:val="1"/>
      <w:numFmt w:val="lowerRoman"/>
      <w:lvlText w:val="%3."/>
      <w:lvlJc w:val="right"/>
      <w:pPr>
        <w:ind w:left="3576" w:hanging="180"/>
      </w:pPr>
    </w:lvl>
    <w:lvl w:ilvl="3" w:tplc="0416000F" w:tentative="1">
      <w:start w:val="1"/>
      <w:numFmt w:val="decimal"/>
      <w:lvlText w:val="%4."/>
      <w:lvlJc w:val="left"/>
      <w:pPr>
        <w:ind w:left="4296" w:hanging="360"/>
      </w:pPr>
    </w:lvl>
    <w:lvl w:ilvl="4" w:tplc="04160019" w:tentative="1">
      <w:start w:val="1"/>
      <w:numFmt w:val="lowerLetter"/>
      <w:lvlText w:val="%5."/>
      <w:lvlJc w:val="left"/>
      <w:pPr>
        <w:ind w:left="5016" w:hanging="360"/>
      </w:pPr>
    </w:lvl>
    <w:lvl w:ilvl="5" w:tplc="0416001B" w:tentative="1">
      <w:start w:val="1"/>
      <w:numFmt w:val="lowerRoman"/>
      <w:lvlText w:val="%6."/>
      <w:lvlJc w:val="right"/>
      <w:pPr>
        <w:ind w:left="5736" w:hanging="180"/>
      </w:pPr>
    </w:lvl>
    <w:lvl w:ilvl="6" w:tplc="0416000F" w:tentative="1">
      <w:start w:val="1"/>
      <w:numFmt w:val="decimal"/>
      <w:lvlText w:val="%7."/>
      <w:lvlJc w:val="left"/>
      <w:pPr>
        <w:ind w:left="6456" w:hanging="360"/>
      </w:pPr>
    </w:lvl>
    <w:lvl w:ilvl="7" w:tplc="04160019" w:tentative="1">
      <w:start w:val="1"/>
      <w:numFmt w:val="lowerLetter"/>
      <w:lvlText w:val="%8."/>
      <w:lvlJc w:val="left"/>
      <w:pPr>
        <w:ind w:left="7176" w:hanging="360"/>
      </w:pPr>
    </w:lvl>
    <w:lvl w:ilvl="8" w:tplc="0416001B" w:tentative="1">
      <w:start w:val="1"/>
      <w:numFmt w:val="lowerRoman"/>
      <w:lvlText w:val="%9."/>
      <w:lvlJc w:val="right"/>
      <w:pPr>
        <w:ind w:left="7896" w:hanging="180"/>
      </w:pPr>
    </w:lvl>
  </w:abstractNum>
  <w:abstractNum w:abstractNumId="2" w15:restartNumberingAfterBreak="0">
    <w:nsid w:val="3ED93989"/>
    <w:multiLevelType w:val="hybridMultilevel"/>
    <w:tmpl w:val="F8F22158"/>
    <w:lvl w:ilvl="0" w:tplc="AACE3DC4">
      <w:start w:val="1"/>
      <w:numFmt w:val="lowerRoman"/>
      <w:lvlText w:val="(%1)"/>
      <w:lvlJc w:val="lef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 w15:restartNumberingAfterBreak="0">
    <w:nsid w:val="4FB933AD"/>
    <w:multiLevelType w:val="hybridMultilevel"/>
    <w:tmpl w:val="7B0299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 w15:restartNumberingAfterBreak="0">
    <w:nsid w:val="58E33694"/>
    <w:multiLevelType w:val="hybridMultilevel"/>
    <w:tmpl w:val="F5BA612C"/>
    <w:lvl w:ilvl="0" w:tplc="04160001">
      <w:start w:val="1"/>
      <w:numFmt w:val="bullet"/>
      <w:lvlText w:val=""/>
      <w:lvlJc w:val="left"/>
      <w:pPr>
        <w:ind w:left="2200" w:hanging="360"/>
      </w:pPr>
      <w:rPr>
        <w:rFonts w:ascii="Symbol" w:hAnsi="Symbol" w:hint="default"/>
      </w:rPr>
    </w:lvl>
    <w:lvl w:ilvl="1" w:tplc="04160003" w:tentative="1">
      <w:start w:val="1"/>
      <w:numFmt w:val="bullet"/>
      <w:lvlText w:val="o"/>
      <w:lvlJc w:val="left"/>
      <w:pPr>
        <w:ind w:left="2920" w:hanging="360"/>
      </w:pPr>
      <w:rPr>
        <w:rFonts w:ascii="Courier New" w:hAnsi="Courier New" w:cs="Courier New" w:hint="default"/>
      </w:rPr>
    </w:lvl>
    <w:lvl w:ilvl="2" w:tplc="04160005" w:tentative="1">
      <w:start w:val="1"/>
      <w:numFmt w:val="bullet"/>
      <w:lvlText w:val=""/>
      <w:lvlJc w:val="left"/>
      <w:pPr>
        <w:ind w:left="3640" w:hanging="360"/>
      </w:pPr>
      <w:rPr>
        <w:rFonts w:ascii="Wingdings" w:hAnsi="Wingdings" w:hint="default"/>
      </w:rPr>
    </w:lvl>
    <w:lvl w:ilvl="3" w:tplc="04160001" w:tentative="1">
      <w:start w:val="1"/>
      <w:numFmt w:val="bullet"/>
      <w:lvlText w:val=""/>
      <w:lvlJc w:val="left"/>
      <w:pPr>
        <w:ind w:left="4360" w:hanging="360"/>
      </w:pPr>
      <w:rPr>
        <w:rFonts w:ascii="Symbol" w:hAnsi="Symbol" w:hint="default"/>
      </w:rPr>
    </w:lvl>
    <w:lvl w:ilvl="4" w:tplc="04160003" w:tentative="1">
      <w:start w:val="1"/>
      <w:numFmt w:val="bullet"/>
      <w:lvlText w:val="o"/>
      <w:lvlJc w:val="left"/>
      <w:pPr>
        <w:ind w:left="5080" w:hanging="360"/>
      </w:pPr>
      <w:rPr>
        <w:rFonts w:ascii="Courier New" w:hAnsi="Courier New" w:cs="Courier New" w:hint="default"/>
      </w:rPr>
    </w:lvl>
    <w:lvl w:ilvl="5" w:tplc="04160005" w:tentative="1">
      <w:start w:val="1"/>
      <w:numFmt w:val="bullet"/>
      <w:lvlText w:val=""/>
      <w:lvlJc w:val="left"/>
      <w:pPr>
        <w:ind w:left="5800" w:hanging="360"/>
      </w:pPr>
      <w:rPr>
        <w:rFonts w:ascii="Wingdings" w:hAnsi="Wingdings" w:hint="default"/>
      </w:rPr>
    </w:lvl>
    <w:lvl w:ilvl="6" w:tplc="04160001" w:tentative="1">
      <w:start w:val="1"/>
      <w:numFmt w:val="bullet"/>
      <w:lvlText w:val=""/>
      <w:lvlJc w:val="left"/>
      <w:pPr>
        <w:ind w:left="6520" w:hanging="360"/>
      </w:pPr>
      <w:rPr>
        <w:rFonts w:ascii="Symbol" w:hAnsi="Symbol" w:hint="default"/>
      </w:rPr>
    </w:lvl>
    <w:lvl w:ilvl="7" w:tplc="04160003" w:tentative="1">
      <w:start w:val="1"/>
      <w:numFmt w:val="bullet"/>
      <w:lvlText w:val="o"/>
      <w:lvlJc w:val="left"/>
      <w:pPr>
        <w:ind w:left="7240" w:hanging="360"/>
      </w:pPr>
      <w:rPr>
        <w:rFonts w:ascii="Courier New" w:hAnsi="Courier New" w:cs="Courier New" w:hint="default"/>
      </w:rPr>
    </w:lvl>
    <w:lvl w:ilvl="8" w:tplc="04160005" w:tentative="1">
      <w:start w:val="1"/>
      <w:numFmt w:val="bullet"/>
      <w:lvlText w:val=""/>
      <w:lvlJc w:val="left"/>
      <w:pPr>
        <w:ind w:left="7960" w:hanging="360"/>
      </w:pPr>
      <w:rPr>
        <w:rFonts w:ascii="Wingdings" w:hAnsi="Wingdings" w:hint="default"/>
      </w:rPr>
    </w:lvl>
  </w:abstractNum>
  <w:abstractNum w:abstractNumId="5" w15:restartNumberingAfterBreak="0">
    <w:nsid w:val="761B3CE3"/>
    <w:multiLevelType w:val="hybridMultilevel"/>
    <w:tmpl w:val="3D00981C"/>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num w:numId="1">
    <w:abstractNumId w:val="0"/>
  </w:num>
  <w:num w:numId="2">
    <w:abstractNumId w:val="3"/>
  </w:num>
  <w:num w:numId="3">
    <w:abstractNumId w:val="2"/>
  </w:num>
  <w:num w:numId="4">
    <w:abstractNumId w:val="4"/>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2"/>
  <w:proofState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2CBE"/>
    <w:rsid w:val="000026A9"/>
    <w:rsid w:val="00003031"/>
    <w:rsid w:val="00003989"/>
    <w:rsid w:val="00007A8D"/>
    <w:rsid w:val="00012B6D"/>
    <w:rsid w:val="00012CBC"/>
    <w:rsid w:val="00012E83"/>
    <w:rsid w:val="0001362D"/>
    <w:rsid w:val="00013F40"/>
    <w:rsid w:val="0001620F"/>
    <w:rsid w:val="00021B4E"/>
    <w:rsid w:val="00023BD9"/>
    <w:rsid w:val="0003137F"/>
    <w:rsid w:val="000313C6"/>
    <w:rsid w:val="00031F0D"/>
    <w:rsid w:val="00033156"/>
    <w:rsid w:val="00033DD7"/>
    <w:rsid w:val="00034BA0"/>
    <w:rsid w:val="0003623B"/>
    <w:rsid w:val="00036984"/>
    <w:rsid w:val="00037E08"/>
    <w:rsid w:val="00040417"/>
    <w:rsid w:val="00040465"/>
    <w:rsid w:val="000435BB"/>
    <w:rsid w:val="000469F8"/>
    <w:rsid w:val="0005574E"/>
    <w:rsid w:val="000570C6"/>
    <w:rsid w:val="00060815"/>
    <w:rsid w:val="00062695"/>
    <w:rsid w:val="000656A0"/>
    <w:rsid w:val="00065F1A"/>
    <w:rsid w:val="00067F64"/>
    <w:rsid w:val="000700BE"/>
    <w:rsid w:val="00072CCF"/>
    <w:rsid w:val="00073797"/>
    <w:rsid w:val="000745A8"/>
    <w:rsid w:val="00074CD5"/>
    <w:rsid w:val="00075994"/>
    <w:rsid w:val="00076F1C"/>
    <w:rsid w:val="00077346"/>
    <w:rsid w:val="00077448"/>
    <w:rsid w:val="0008004E"/>
    <w:rsid w:val="000809F2"/>
    <w:rsid w:val="00080AC7"/>
    <w:rsid w:val="00080E85"/>
    <w:rsid w:val="0008608E"/>
    <w:rsid w:val="000903C7"/>
    <w:rsid w:val="00092353"/>
    <w:rsid w:val="0009595E"/>
    <w:rsid w:val="00096220"/>
    <w:rsid w:val="000A0C91"/>
    <w:rsid w:val="000A1CE3"/>
    <w:rsid w:val="000A30CF"/>
    <w:rsid w:val="000A354C"/>
    <w:rsid w:val="000A3640"/>
    <w:rsid w:val="000A6773"/>
    <w:rsid w:val="000B018D"/>
    <w:rsid w:val="000B0C4F"/>
    <w:rsid w:val="000B20D0"/>
    <w:rsid w:val="000B32C0"/>
    <w:rsid w:val="000B3A9D"/>
    <w:rsid w:val="000B3FB6"/>
    <w:rsid w:val="000C6D06"/>
    <w:rsid w:val="000C7732"/>
    <w:rsid w:val="000D2A5D"/>
    <w:rsid w:val="000D74C2"/>
    <w:rsid w:val="000D7643"/>
    <w:rsid w:val="000E30FB"/>
    <w:rsid w:val="000E6323"/>
    <w:rsid w:val="000E64D3"/>
    <w:rsid w:val="000F0C29"/>
    <w:rsid w:val="000F21B7"/>
    <w:rsid w:val="000F2315"/>
    <w:rsid w:val="000F3565"/>
    <w:rsid w:val="000F6439"/>
    <w:rsid w:val="00100B0B"/>
    <w:rsid w:val="001050B2"/>
    <w:rsid w:val="00106374"/>
    <w:rsid w:val="00107C70"/>
    <w:rsid w:val="001101FD"/>
    <w:rsid w:val="0011135C"/>
    <w:rsid w:val="00111D1C"/>
    <w:rsid w:val="00111F6A"/>
    <w:rsid w:val="00113A23"/>
    <w:rsid w:val="0011484B"/>
    <w:rsid w:val="00114DDA"/>
    <w:rsid w:val="0011795D"/>
    <w:rsid w:val="00117E6D"/>
    <w:rsid w:val="00120A35"/>
    <w:rsid w:val="001229F9"/>
    <w:rsid w:val="0012753D"/>
    <w:rsid w:val="001301F7"/>
    <w:rsid w:val="00132E2F"/>
    <w:rsid w:val="00133885"/>
    <w:rsid w:val="00133FEF"/>
    <w:rsid w:val="001353C9"/>
    <w:rsid w:val="001354B7"/>
    <w:rsid w:val="00136D59"/>
    <w:rsid w:val="00142EA5"/>
    <w:rsid w:val="001444EE"/>
    <w:rsid w:val="00144766"/>
    <w:rsid w:val="001456BA"/>
    <w:rsid w:val="00147FE0"/>
    <w:rsid w:val="00150D93"/>
    <w:rsid w:val="0015106D"/>
    <w:rsid w:val="00151961"/>
    <w:rsid w:val="001570AE"/>
    <w:rsid w:val="00157F57"/>
    <w:rsid w:val="00163610"/>
    <w:rsid w:val="00163D0C"/>
    <w:rsid w:val="0016435A"/>
    <w:rsid w:val="00164509"/>
    <w:rsid w:val="00166A7D"/>
    <w:rsid w:val="00170A67"/>
    <w:rsid w:val="00170B2F"/>
    <w:rsid w:val="001710AE"/>
    <w:rsid w:val="00171568"/>
    <w:rsid w:val="00176F24"/>
    <w:rsid w:val="0018228F"/>
    <w:rsid w:val="00184E3E"/>
    <w:rsid w:val="0018614C"/>
    <w:rsid w:val="00190436"/>
    <w:rsid w:val="001945FA"/>
    <w:rsid w:val="001955BE"/>
    <w:rsid w:val="00196F9F"/>
    <w:rsid w:val="001A209F"/>
    <w:rsid w:val="001A2302"/>
    <w:rsid w:val="001A4916"/>
    <w:rsid w:val="001A6829"/>
    <w:rsid w:val="001B2E88"/>
    <w:rsid w:val="001B3F2A"/>
    <w:rsid w:val="001B74AF"/>
    <w:rsid w:val="001D00C7"/>
    <w:rsid w:val="001D3013"/>
    <w:rsid w:val="001D329C"/>
    <w:rsid w:val="001D3935"/>
    <w:rsid w:val="001D5B3A"/>
    <w:rsid w:val="001D5DD5"/>
    <w:rsid w:val="001D7D56"/>
    <w:rsid w:val="001E3AE7"/>
    <w:rsid w:val="001E3D99"/>
    <w:rsid w:val="001E456A"/>
    <w:rsid w:val="001E4CCB"/>
    <w:rsid w:val="001E6E11"/>
    <w:rsid w:val="001F0A7A"/>
    <w:rsid w:val="001F148F"/>
    <w:rsid w:val="001F2D6C"/>
    <w:rsid w:val="001F4ACE"/>
    <w:rsid w:val="002038D5"/>
    <w:rsid w:val="00206F1C"/>
    <w:rsid w:val="00211595"/>
    <w:rsid w:val="00212963"/>
    <w:rsid w:val="0021399C"/>
    <w:rsid w:val="00216375"/>
    <w:rsid w:val="002166A8"/>
    <w:rsid w:val="0022475D"/>
    <w:rsid w:val="00226513"/>
    <w:rsid w:val="00231436"/>
    <w:rsid w:val="002339E4"/>
    <w:rsid w:val="00236775"/>
    <w:rsid w:val="00240903"/>
    <w:rsid w:val="00244A28"/>
    <w:rsid w:val="00251589"/>
    <w:rsid w:val="00254A26"/>
    <w:rsid w:val="00255F00"/>
    <w:rsid w:val="00256A79"/>
    <w:rsid w:val="002573ED"/>
    <w:rsid w:val="00257F91"/>
    <w:rsid w:val="002606E8"/>
    <w:rsid w:val="00262CFE"/>
    <w:rsid w:val="002634B0"/>
    <w:rsid w:val="00265E98"/>
    <w:rsid w:val="0026676F"/>
    <w:rsid w:val="002669F7"/>
    <w:rsid w:val="00267A39"/>
    <w:rsid w:val="00274128"/>
    <w:rsid w:val="00274A2F"/>
    <w:rsid w:val="002805E3"/>
    <w:rsid w:val="00287C67"/>
    <w:rsid w:val="00292125"/>
    <w:rsid w:val="0029218C"/>
    <w:rsid w:val="0029600E"/>
    <w:rsid w:val="00296E46"/>
    <w:rsid w:val="002A0569"/>
    <w:rsid w:val="002A25E3"/>
    <w:rsid w:val="002A378D"/>
    <w:rsid w:val="002A4AD3"/>
    <w:rsid w:val="002A69F5"/>
    <w:rsid w:val="002A6D38"/>
    <w:rsid w:val="002A73E2"/>
    <w:rsid w:val="002B1BFB"/>
    <w:rsid w:val="002B763E"/>
    <w:rsid w:val="002C1F98"/>
    <w:rsid w:val="002C406C"/>
    <w:rsid w:val="002C4AE9"/>
    <w:rsid w:val="002C55D9"/>
    <w:rsid w:val="002C599A"/>
    <w:rsid w:val="002C6F2A"/>
    <w:rsid w:val="002D04E4"/>
    <w:rsid w:val="002D4E7D"/>
    <w:rsid w:val="002D508E"/>
    <w:rsid w:val="002D75BB"/>
    <w:rsid w:val="002E10A7"/>
    <w:rsid w:val="002E1FD0"/>
    <w:rsid w:val="002E34F7"/>
    <w:rsid w:val="002E758B"/>
    <w:rsid w:val="002F0D71"/>
    <w:rsid w:val="002F1784"/>
    <w:rsid w:val="002F48DA"/>
    <w:rsid w:val="002F6326"/>
    <w:rsid w:val="002F6AF4"/>
    <w:rsid w:val="00302C72"/>
    <w:rsid w:val="00303144"/>
    <w:rsid w:val="003058B0"/>
    <w:rsid w:val="00307077"/>
    <w:rsid w:val="00314020"/>
    <w:rsid w:val="0031407D"/>
    <w:rsid w:val="00315475"/>
    <w:rsid w:val="00316803"/>
    <w:rsid w:val="00316D8C"/>
    <w:rsid w:val="003210EF"/>
    <w:rsid w:val="003305C1"/>
    <w:rsid w:val="00334ACE"/>
    <w:rsid w:val="0034171C"/>
    <w:rsid w:val="003503AE"/>
    <w:rsid w:val="00351689"/>
    <w:rsid w:val="003553F0"/>
    <w:rsid w:val="00357448"/>
    <w:rsid w:val="0035761A"/>
    <w:rsid w:val="00360F5C"/>
    <w:rsid w:val="00361F7B"/>
    <w:rsid w:val="00365D9D"/>
    <w:rsid w:val="003674F7"/>
    <w:rsid w:val="00370E6A"/>
    <w:rsid w:val="003728BE"/>
    <w:rsid w:val="003755C5"/>
    <w:rsid w:val="003766DE"/>
    <w:rsid w:val="003826ED"/>
    <w:rsid w:val="003831B9"/>
    <w:rsid w:val="003852F1"/>
    <w:rsid w:val="00385455"/>
    <w:rsid w:val="00386980"/>
    <w:rsid w:val="00387531"/>
    <w:rsid w:val="003A1CFE"/>
    <w:rsid w:val="003A2795"/>
    <w:rsid w:val="003A29AE"/>
    <w:rsid w:val="003A7BF5"/>
    <w:rsid w:val="003B1A42"/>
    <w:rsid w:val="003B4C2E"/>
    <w:rsid w:val="003B7185"/>
    <w:rsid w:val="003C00C3"/>
    <w:rsid w:val="003C53B8"/>
    <w:rsid w:val="003C7041"/>
    <w:rsid w:val="003D18D6"/>
    <w:rsid w:val="003D27D4"/>
    <w:rsid w:val="003D292B"/>
    <w:rsid w:val="003D73CF"/>
    <w:rsid w:val="003D7FB7"/>
    <w:rsid w:val="003E080C"/>
    <w:rsid w:val="003E1E92"/>
    <w:rsid w:val="003E4F98"/>
    <w:rsid w:val="003F0CCA"/>
    <w:rsid w:val="003F5647"/>
    <w:rsid w:val="003F66B7"/>
    <w:rsid w:val="003F7950"/>
    <w:rsid w:val="004033E9"/>
    <w:rsid w:val="00403675"/>
    <w:rsid w:val="00405B06"/>
    <w:rsid w:val="00405DCB"/>
    <w:rsid w:val="00407C4D"/>
    <w:rsid w:val="00410465"/>
    <w:rsid w:val="0041453C"/>
    <w:rsid w:val="0041752E"/>
    <w:rsid w:val="00422108"/>
    <w:rsid w:val="00434A26"/>
    <w:rsid w:val="00435EB7"/>
    <w:rsid w:val="00436653"/>
    <w:rsid w:val="00437E99"/>
    <w:rsid w:val="0044212C"/>
    <w:rsid w:val="00446255"/>
    <w:rsid w:val="0046107E"/>
    <w:rsid w:val="00462D04"/>
    <w:rsid w:val="0046609F"/>
    <w:rsid w:val="00466DE0"/>
    <w:rsid w:val="00466FB6"/>
    <w:rsid w:val="00467669"/>
    <w:rsid w:val="00470C14"/>
    <w:rsid w:val="00473D93"/>
    <w:rsid w:val="0047544E"/>
    <w:rsid w:val="00477C2A"/>
    <w:rsid w:val="0048133C"/>
    <w:rsid w:val="0048138A"/>
    <w:rsid w:val="004840EA"/>
    <w:rsid w:val="004848C9"/>
    <w:rsid w:val="00490DEA"/>
    <w:rsid w:val="00493E39"/>
    <w:rsid w:val="00494D18"/>
    <w:rsid w:val="00497B51"/>
    <w:rsid w:val="004A1428"/>
    <w:rsid w:val="004A2F19"/>
    <w:rsid w:val="004A37BD"/>
    <w:rsid w:val="004A39B8"/>
    <w:rsid w:val="004A7AA9"/>
    <w:rsid w:val="004C1F52"/>
    <w:rsid w:val="004C4822"/>
    <w:rsid w:val="004D3921"/>
    <w:rsid w:val="004D68E9"/>
    <w:rsid w:val="004E0372"/>
    <w:rsid w:val="004E1D62"/>
    <w:rsid w:val="004E4401"/>
    <w:rsid w:val="004E6218"/>
    <w:rsid w:val="004F03CF"/>
    <w:rsid w:val="004F2CBE"/>
    <w:rsid w:val="004F4ADB"/>
    <w:rsid w:val="004F5A31"/>
    <w:rsid w:val="004F6002"/>
    <w:rsid w:val="004F6E35"/>
    <w:rsid w:val="004F7C79"/>
    <w:rsid w:val="00502C2A"/>
    <w:rsid w:val="0050548A"/>
    <w:rsid w:val="0050631F"/>
    <w:rsid w:val="005068DB"/>
    <w:rsid w:val="0051025C"/>
    <w:rsid w:val="005109C2"/>
    <w:rsid w:val="00514603"/>
    <w:rsid w:val="005148F5"/>
    <w:rsid w:val="00517072"/>
    <w:rsid w:val="00521993"/>
    <w:rsid w:val="00524FEF"/>
    <w:rsid w:val="00525ED6"/>
    <w:rsid w:val="00526032"/>
    <w:rsid w:val="00530E21"/>
    <w:rsid w:val="00533320"/>
    <w:rsid w:val="0053362F"/>
    <w:rsid w:val="00534581"/>
    <w:rsid w:val="00536556"/>
    <w:rsid w:val="00537ECA"/>
    <w:rsid w:val="00544F32"/>
    <w:rsid w:val="00545F33"/>
    <w:rsid w:val="0055006B"/>
    <w:rsid w:val="00550A53"/>
    <w:rsid w:val="0055269E"/>
    <w:rsid w:val="005552BE"/>
    <w:rsid w:val="00555D55"/>
    <w:rsid w:val="005570BC"/>
    <w:rsid w:val="00563BA2"/>
    <w:rsid w:val="0056483A"/>
    <w:rsid w:val="005648F4"/>
    <w:rsid w:val="005667E2"/>
    <w:rsid w:val="00566D12"/>
    <w:rsid w:val="005708F6"/>
    <w:rsid w:val="00571BD1"/>
    <w:rsid w:val="005748D4"/>
    <w:rsid w:val="0057659E"/>
    <w:rsid w:val="00577C10"/>
    <w:rsid w:val="00582112"/>
    <w:rsid w:val="00583C98"/>
    <w:rsid w:val="00586C59"/>
    <w:rsid w:val="00587358"/>
    <w:rsid w:val="005911CE"/>
    <w:rsid w:val="005914FD"/>
    <w:rsid w:val="00593AD4"/>
    <w:rsid w:val="00596F34"/>
    <w:rsid w:val="005A03DD"/>
    <w:rsid w:val="005A2012"/>
    <w:rsid w:val="005A35C4"/>
    <w:rsid w:val="005A5035"/>
    <w:rsid w:val="005A7252"/>
    <w:rsid w:val="005A7608"/>
    <w:rsid w:val="005B00DB"/>
    <w:rsid w:val="005B0D81"/>
    <w:rsid w:val="005B2801"/>
    <w:rsid w:val="005B4D49"/>
    <w:rsid w:val="005B65FD"/>
    <w:rsid w:val="005B6837"/>
    <w:rsid w:val="005B7A95"/>
    <w:rsid w:val="005C2095"/>
    <w:rsid w:val="005C722D"/>
    <w:rsid w:val="005C7B75"/>
    <w:rsid w:val="005C7CA0"/>
    <w:rsid w:val="005D12CD"/>
    <w:rsid w:val="005D1FB9"/>
    <w:rsid w:val="005D4CC8"/>
    <w:rsid w:val="005D5666"/>
    <w:rsid w:val="005E0044"/>
    <w:rsid w:val="005F2FE5"/>
    <w:rsid w:val="00600797"/>
    <w:rsid w:val="00605BAC"/>
    <w:rsid w:val="0061028D"/>
    <w:rsid w:val="00610F5F"/>
    <w:rsid w:val="00611040"/>
    <w:rsid w:val="006118D7"/>
    <w:rsid w:val="00611C1F"/>
    <w:rsid w:val="006125C5"/>
    <w:rsid w:val="006201F8"/>
    <w:rsid w:val="00621454"/>
    <w:rsid w:val="00622777"/>
    <w:rsid w:val="006240A0"/>
    <w:rsid w:val="0062658E"/>
    <w:rsid w:val="006266DF"/>
    <w:rsid w:val="00626B36"/>
    <w:rsid w:val="006363D2"/>
    <w:rsid w:val="00642182"/>
    <w:rsid w:val="00646595"/>
    <w:rsid w:val="0064782E"/>
    <w:rsid w:val="00651650"/>
    <w:rsid w:val="00655E1B"/>
    <w:rsid w:val="00661A11"/>
    <w:rsid w:val="00661A86"/>
    <w:rsid w:val="00663DCA"/>
    <w:rsid w:val="00670C9E"/>
    <w:rsid w:val="00682296"/>
    <w:rsid w:val="006853E3"/>
    <w:rsid w:val="00691015"/>
    <w:rsid w:val="00697DDC"/>
    <w:rsid w:val="00697FA8"/>
    <w:rsid w:val="006A154D"/>
    <w:rsid w:val="006A20F9"/>
    <w:rsid w:val="006A23D5"/>
    <w:rsid w:val="006A393B"/>
    <w:rsid w:val="006A5873"/>
    <w:rsid w:val="006A6037"/>
    <w:rsid w:val="006A6270"/>
    <w:rsid w:val="006B3495"/>
    <w:rsid w:val="006B7232"/>
    <w:rsid w:val="006B7EC5"/>
    <w:rsid w:val="006C1A18"/>
    <w:rsid w:val="006C51C2"/>
    <w:rsid w:val="006C6C61"/>
    <w:rsid w:val="006C6FF9"/>
    <w:rsid w:val="006C7B7F"/>
    <w:rsid w:val="006C7D2A"/>
    <w:rsid w:val="006D18ED"/>
    <w:rsid w:val="006D2314"/>
    <w:rsid w:val="006D2E3B"/>
    <w:rsid w:val="006D34E0"/>
    <w:rsid w:val="006D3AF4"/>
    <w:rsid w:val="006D6069"/>
    <w:rsid w:val="006E2CF2"/>
    <w:rsid w:val="006E2E8D"/>
    <w:rsid w:val="006E572B"/>
    <w:rsid w:val="006E5E7D"/>
    <w:rsid w:val="006E62FA"/>
    <w:rsid w:val="006E7E91"/>
    <w:rsid w:val="006F2241"/>
    <w:rsid w:val="006F2DCC"/>
    <w:rsid w:val="006F3D2D"/>
    <w:rsid w:val="006F4E2B"/>
    <w:rsid w:val="006F5549"/>
    <w:rsid w:val="006F5D40"/>
    <w:rsid w:val="007001F1"/>
    <w:rsid w:val="0070082F"/>
    <w:rsid w:val="00705EDB"/>
    <w:rsid w:val="00706143"/>
    <w:rsid w:val="00707C60"/>
    <w:rsid w:val="00712F16"/>
    <w:rsid w:val="0071459D"/>
    <w:rsid w:val="007146CA"/>
    <w:rsid w:val="00717665"/>
    <w:rsid w:val="0072054A"/>
    <w:rsid w:val="0072296C"/>
    <w:rsid w:val="00723793"/>
    <w:rsid w:val="007265E2"/>
    <w:rsid w:val="00730196"/>
    <w:rsid w:val="0073213C"/>
    <w:rsid w:val="00732355"/>
    <w:rsid w:val="0073254D"/>
    <w:rsid w:val="00734604"/>
    <w:rsid w:val="00735D16"/>
    <w:rsid w:val="00735FC7"/>
    <w:rsid w:val="00736E8D"/>
    <w:rsid w:val="007401D1"/>
    <w:rsid w:val="00744950"/>
    <w:rsid w:val="00753C07"/>
    <w:rsid w:val="00754F84"/>
    <w:rsid w:val="00762A9E"/>
    <w:rsid w:val="00763953"/>
    <w:rsid w:val="0076471F"/>
    <w:rsid w:val="00765904"/>
    <w:rsid w:val="00767BF4"/>
    <w:rsid w:val="0077629D"/>
    <w:rsid w:val="00782DBC"/>
    <w:rsid w:val="00784111"/>
    <w:rsid w:val="0078586E"/>
    <w:rsid w:val="00790285"/>
    <w:rsid w:val="0079089B"/>
    <w:rsid w:val="00794830"/>
    <w:rsid w:val="00795DBD"/>
    <w:rsid w:val="00797DF1"/>
    <w:rsid w:val="007A321A"/>
    <w:rsid w:val="007A3994"/>
    <w:rsid w:val="007A453E"/>
    <w:rsid w:val="007A4C4F"/>
    <w:rsid w:val="007B30E5"/>
    <w:rsid w:val="007B704F"/>
    <w:rsid w:val="007B7578"/>
    <w:rsid w:val="007C1817"/>
    <w:rsid w:val="007C474D"/>
    <w:rsid w:val="007D4CB1"/>
    <w:rsid w:val="007D61E8"/>
    <w:rsid w:val="007E1AF9"/>
    <w:rsid w:val="007E2B14"/>
    <w:rsid w:val="007E2F99"/>
    <w:rsid w:val="007E6E5E"/>
    <w:rsid w:val="007F09CD"/>
    <w:rsid w:val="00803FC3"/>
    <w:rsid w:val="00804C53"/>
    <w:rsid w:val="008078F1"/>
    <w:rsid w:val="00810BBC"/>
    <w:rsid w:val="00815BC6"/>
    <w:rsid w:val="0081710B"/>
    <w:rsid w:val="00822372"/>
    <w:rsid w:val="00822CBB"/>
    <w:rsid w:val="00823690"/>
    <w:rsid w:val="008254AE"/>
    <w:rsid w:val="008257D5"/>
    <w:rsid w:val="00825AB5"/>
    <w:rsid w:val="00825BBF"/>
    <w:rsid w:val="008265F0"/>
    <w:rsid w:val="00837859"/>
    <w:rsid w:val="00840268"/>
    <w:rsid w:val="00840A00"/>
    <w:rsid w:val="00842161"/>
    <w:rsid w:val="008429C0"/>
    <w:rsid w:val="0084311D"/>
    <w:rsid w:val="008431EF"/>
    <w:rsid w:val="00847CEE"/>
    <w:rsid w:val="008506A4"/>
    <w:rsid w:val="00852824"/>
    <w:rsid w:val="00852858"/>
    <w:rsid w:val="00854ECA"/>
    <w:rsid w:val="00857E9C"/>
    <w:rsid w:val="008608F3"/>
    <w:rsid w:val="00864F7D"/>
    <w:rsid w:val="00865518"/>
    <w:rsid w:val="0086694E"/>
    <w:rsid w:val="00874354"/>
    <w:rsid w:val="008751CD"/>
    <w:rsid w:val="008774FD"/>
    <w:rsid w:val="00880DB9"/>
    <w:rsid w:val="00885613"/>
    <w:rsid w:val="008860A4"/>
    <w:rsid w:val="00886485"/>
    <w:rsid w:val="00886B67"/>
    <w:rsid w:val="00887CF7"/>
    <w:rsid w:val="008905E8"/>
    <w:rsid w:val="00890B64"/>
    <w:rsid w:val="00892139"/>
    <w:rsid w:val="00892787"/>
    <w:rsid w:val="00892EBC"/>
    <w:rsid w:val="008939AD"/>
    <w:rsid w:val="00895229"/>
    <w:rsid w:val="00895B40"/>
    <w:rsid w:val="008A0E02"/>
    <w:rsid w:val="008A1B39"/>
    <w:rsid w:val="008A342A"/>
    <w:rsid w:val="008B1CC8"/>
    <w:rsid w:val="008B2C8D"/>
    <w:rsid w:val="008B3575"/>
    <w:rsid w:val="008C2731"/>
    <w:rsid w:val="008C3400"/>
    <w:rsid w:val="008C4A75"/>
    <w:rsid w:val="008D0844"/>
    <w:rsid w:val="008D26AF"/>
    <w:rsid w:val="008D3640"/>
    <w:rsid w:val="008D5967"/>
    <w:rsid w:val="008D6A86"/>
    <w:rsid w:val="008E1721"/>
    <w:rsid w:val="008F2D08"/>
    <w:rsid w:val="008F3583"/>
    <w:rsid w:val="008F364E"/>
    <w:rsid w:val="008F7FE5"/>
    <w:rsid w:val="00900799"/>
    <w:rsid w:val="00900A5C"/>
    <w:rsid w:val="009010D9"/>
    <w:rsid w:val="009014E1"/>
    <w:rsid w:val="00903E60"/>
    <w:rsid w:val="00903F6C"/>
    <w:rsid w:val="009064E1"/>
    <w:rsid w:val="009073AC"/>
    <w:rsid w:val="00912DF1"/>
    <w:rsid w:val="00913D2F"/>
    <w:rsid w:val="00917496"/>
    <w:rsid w:val="00917B76"/>
    <w:rsid w:val="00917D02"/>
    <w:rsid w:val="0092369E"/>
    <w:rsid w:val="0092456B"/>
    <w:rsid w:val="00933B76"/>
    <w:rsid w:val="00935F95"/>
    <w:rsid w:val="0093733C"/>
    <w:rsid w:val="009410C8"/>
    <w:rsid w:val="00943A5E"/>
    <w:rsid w:val="00944236"/>
    <w:rsid w:val="00944B3F"/>
    <w:rsid w:val="00947113"/>
    <w:rsid w:val="0095056A"/>
    <w:rsid w:val="009573E7"/>
    <w:rsid w:val="0096479F"/>
    <w:rsid w:val="00966D34"/>
    <w:rsid w:val="00967F10"/>
    <w:rsid w:val="00972AE6"/>
    <w:rsid w:val="009769A6"/>
    <w:rsid w:val="009829FB"/>
    <w:rsid w:val="009844A4"/>
    <w:rsid w:val="00984D3E"/>
    <w:rsid w:val="009858EA"/>
    <w:rsid w:val="00991CAE"/>
    <w:rsid w:val="00992010"/>
    <w:rsid w:val="00992298"/>
    <w:rsid w:val="00994B79"/>
    <w:rsid w:val="00995E52"/>
    <w:rsid w:val="0099789F"/>
    <w:rsid w:val="009A0D85"/>
    <w:rsid w:val="009A6551"/>
    <w:rsid w:val="009A7122"/>
    <w:rsid w:val="009A77BB"/>
    <w:rsid w:val="009B27D9"/>
    <w:rsid w:val="009B34E6"/>
    <w:rsid w:val="009C104F"/>
    <w:rsid w:val="009C2A85"/>
    <w:rsid w:val="009C3D38"/>
    <w:rsid w:val="009D0630"/>
    <w:rsid w:val="009D2336"/>
    <w:rsid w:val="009D299F"/>
    <w:rsid w:val="009D3297"/>
    <w:rsid w:val="009E3F8F"/>
    <w:rsid w:val="009F0284"/>
    <w:rsid w:val="009F152C"/>
    <w:rsid w:val="009F649B"/>
    <w:rsid w:val="00A00643"/>
    <w:rsid w:val="00A01A36"/>
    <w:rsid w:val="00A01A4E"/>
    <w:rsid w:val="00A027A9"/>
    <w:rsid w:val="00A02D09"/>
    <w:rsid w:val="00A03643"/>
    <w:rsid w:val="00A03668"/>
    <w:rsid w:val="00A03F77"/>
    <w:rsid w:val="00A05BE1"/>
    <w:rsid w:val="00A07EE3"/>
    <w:rsid w:val="00A11505"/>
    <w:rsid w:val="00A177AB"/>
    <w:rsid w:val="00A22497"/>
    <w:rsid w:val="00A22B77"/>
    <w:rsid w:val="00A22B8A"/>
    <w:rsid w:val="00A22CC1"/>
    <w:rsid w:val="00A25250"/>
    <w:rsid w:val="00A257CF"/>
    <w:rsid w:val="00A25991"/>
    <w:rsid w:val="00A2761B"/>
    <w:rsid w:val="00A302DA"/>
    <w:rsid w:val="00A337F9"/>
    <w:rsid w:val="00A34095"/>
    <w:rsid w:val="00A35066"/>
    <w:rsid w:val="00A36190"/>
    <w:rsid w:val="00A36306"/>
    <w:rsid w:val="00A37A85"/>
    <w:rsid w:val="00A42654"/>
    <w:rsid w:val="00A44BDF"/>
    <w:rsid w:val="00A45BE6"/>
    <w:rsid w:val="00A46B40"/>
    <w:rsid w:val="00A46F25"/>
    <w:rsid w:val="00A53833"/>
    <w:rsid w:val="00A54F20"/>
    <w:rsid w:val="00A558CE"/>
    <w:rsid w:val="00A55A51"/>
    <w:rsid w:val="00A61EA4"/>
    <w:rsid w:val="00A64F8A"/>
    <w:rsid w:val="00A6722A"/>
    <w:rsid w:val="00A67AA8"/>
    <w:rsid w:val="00A70498"/>
    <w:rsid w:val="00A77AED"/>
    <w:rsid w:val="00A82574"/>
    <w:rsid w:val="00A828BA"/>
    <w:rsid w:val="00A83E05"/>
    <w:rsid w:val="00A866C5"/>
    <w:rsid w:val="00A90816"/>
    <w:rsid w:val="00A91B62"/>
    <w:rsid w:val="00A93C9D"/>
    <w:rsid w:val="00A94197"/>
    <w:rsid w:val="00A945FB"/>
    <w:rsid w:val="00A94A87"/>
    <w:rsid w:val="00AA01C1"/>
    <w:rsid w:val="00AA2D38"/>
    <w:rsid w:val="00AA575B"/>
    <w:rsid w:val="00AA57D4"/>
    <w:rsid w:val="00AA6352"/>
    <w:rsid w:val="00AB1C2F"/>
    <w:rsid w:val="00AB26F0"/>
    <w:rsid w:val="00AB3B3C"/>
    <w:rsid w:val="00AB3FCA"/>
    <w:rsid w:val="00AB5759"/>
    <w:rsid w:val="00AB68A2"/>
    <w:rsid w:val="00AB6CAF"/>
    <w:rsid w:val="00AC2ED8"/>
    <w:rsid w:val="00AC508C"/>
    <w:rsid w:val="00AC584B"/>
    <w:rsid w:val="00AC6D72"/>
    <w:rsid w:val="00AD0865"/>
    <w:rsid w:val="00AD1FD5"/>
    <w:rsid w:val="00AD40B6"/>
    <w:rsid w:val="00AD581E"/>
    <w:rsid w:val="00AD61E0"/>
    <w:rsid w:val="00AD71EB"/>
    <w:rsid w:val="00AE0553"/>
    <w:rsid w:val="00AE1801"/>
    <w:rsid w:val="00AE236E"/>
    <w:rsid w:val="00AE48ED"/>
    <w:rsid w:val="00AE5F50"/>
    <w:rsid w:val="00AE6170"/>
    <w:rsid w:val="00AE6E3B"/>
    <w:rsid w:val="00AF1A03"/>
    <w:rsid w:val="00AF35F3"/>
    <w:rsid w:val="00AF4ECF"/>
    <w:rsid w:val="00AF4FD9"/>
    <w:rsid w:val="00AF60D2"/>
    <w:rsid w:val="00AF6284"/>
    <w:rsid w:val="00B0371C"/>
    <w:rsid w:val="00B03F68"/>
    <w:rsid w:val="00B1238B"/>
    <w:rsid w:val="00B126EF"/>
    <w:rsid w:val="00B12B58"/>
    <w:rsid w:val="00B12BFB"/>
    <w:rsid w:val="00B12FC0"/>
    <w:rsid w:val="00B1679C"/>
    <w:rsid w:val="00B2521F"/>
    <w:rsid w:val="00B27E5C"/>
    <w:rsid w:val="00B33D4E"/>
    <w:rsid w:val="00B3570E"/>
    <w:rsid w:val="00B35889"/>
    <w:rsid w:val="00B42B00"/>
    <w:rsid w:val="00B431AE"/>
    <w:rsid w:val="00B45A66"/>
    <w:rsid w:val="00B46E2A"/>
    <w:rsid w:val="00B47E75"/>
    <w:rsid w:val="00B501C1"/>
    <w:rsid w:val="00B5582C"/>
    <w:rsid w:val="00B567F8"/>
    <w:rsid w:val="00B5784D"/>
    <w:rsid w:val="00B61DED"/>
    <w:rsid w:val="00B63EA3"/>
    <w:rsid w:val="00B6662A"/>
    <w:rsid w:val="00B67C64"/>
    <w:rsid w:val="00B70C39"/>
    <w:rsid w:val="00B71519"/>
    <w:rsid w:val="00B724A8"/>
    <w:rsid w:val="00B734E4"/>
    <w:rsid w:val="00B73D3F"/>
    <w:rsid w:val="00B73F94"/>
    <w:rsid w:val="00B73FDA"/>
    <w:rsid w:val="00B845A3"/>
    <w:rsid w:val="00B8762C"/>
    <w:rsid w:val="00B92EE1"/>
    <w:rsid w:val="00B94446"/>
    <w:rsid w:val="00B963FC"/>
    <w:rsid w:val="00BA2654"/>
    <w:rsid w:val="00BA2897"/>
    <w:rsid w:val="00BB01BF"/>
    <w:rsid w:val="00BB543D"/>
    <w:rsid w:val="00BC04F1"/>
    <w:rsid w:val="00BC183B"/>
    <w:rsid w:val="00BC2F35"/>
    <w:rsid w:val="00BC70D8"/>
    <w:rsid w:val="00BD2ACE"/>
    <w:rsid w:val="00BE2003"/>
    <w:rsid w:val="00BE2D50"/>
    <w:rsid w:val="00BE4340"/>
    <w:rsid w:val="00BF06EF"/>
    <w:rsid w:val="00BF1E42"/>
    <w:rsid w:val="00BF4A88"/>
    <w:rsid w:val="00BF4D50"/>
    <w:rsid w:val="00BF7818"/>
    <w:rsid w:val="00BF7CCA"/>
    <w:rsid w:val="00C0138F"/>
    <w:rsid w:val="00C05B23"/>
    <w:rsid w:val="00C07247"/>
    <w:rsid w:val="00C07850"/>
    <w:rsid w:val="00C07B69"/>
    <w:rsid w:val="00C10055"/>
    <w:rsid w:val="00C1540C"/>
    <w:rsid w:val="00C200C8"/>
    <w:rsid w:val="00C22497"/>
    <w:rsid w:val="00C2611F"/>
    <w:rsid w:val="00C3484A"/>
    <w:rsid w:val="00C407DA"/>
    <w:rsid w:val="00C41A9B"/>
    <w:rsid w:val="00C42FAD"/>
    <w:rsid w:val="00C456FE"/>
    <w:rsid w:val="00C45D95"/>
    <w:rsid w:val="00C474EA"/>
    <w:rsid w:val="00C4786C"/>
    <w:rsid w:val="00C50AE1"/>
    <w:rsid w:val="00C61F66"/>
    <w:rsid w:val="00C64070"/>
    <w:rsid w:val="00C659AC"/>
    <w:rsid w:val="00C66064"/>
    <w:rsid w:val="00C67B0C"/>
    <w:rsid w:val="00C710DE"/>
    <w:rsid w:val="00C74C19"/>
    <w:rsid w:val="00C74F9F"/>
    <w:rsid w:val="00C76B19"/>
    <w:rsid w:val="00C80BE1"/>
    <w:rsid w:val="00C83778"/>
    <w:rsid w:val="00C86A84"/>
    <w:rsid w:val="00C91271"/>
    <w:rsid w:val="00C9492A"/>
    <w:rsid w:val="00CA0D47"/>
    <w:rsid w:val="00CA31A3"/>
    <w:rsid w:val="00CA7FE3"/>
    <w:rsid w:val="00CB0ACE"/>
    <w:rsid w:val="00CB58A6"/>
    <w:rsid w:val="00CB5F10"/>
    <w:rsid w:val="00CC08E0"/>
    <w:rsid w:val="00CC786E"/>
    <w:rsid w:val="00CD1112"/>
    <w:rsid w:val="00CD2B3A"/>
    <w:rsid w:val="00CD5AEC"/>
    <w:rsid w:val="00CE0036"/>
    <w:rsid w:val="00CE0267"/>
    <w:rsid w:val="00CE3703"/>
    <w:rsid w:val="00CE50AB"/>
    <w:rsid w:val="00CE6C35"/>
    <w:rsid w:val="00CE6FDA"/>
    <w:rsid w:val="00CE7E0B"/>
    <w:rsid w:val="00CF355C"/>
    <w:rsid w:val="00CF47D4"/>
    <w:rsid w:val="00D0165E"/>
    <w:rsid w:val="00D1228F"/>
    <w:rsid w:val="00D219E7"/>
    <w:rsid w:val="00D23459"/>
    <w:rsid w:val="00D27D81"/>
    <w:rsid w:val="00D3021C"/>
    <w:rsid w:val="00D32099"/>
    <w:rsid w:val="00D32F13"/>
    <w:rsid w:val="00D3359A"/>
    <w:rsid w:val="00D3633D"/>
    <w:rsid w:val="00D413EB"/>
    <w:rsid w:val="00D4194F"/>
    <w:rsid w:val="00D42C82"/>
    <w:rsid w:val="00D5125D"/>
    <w:rsid w:val="00D52BFB"/>
    <w:rsid w:val="00D57697"/>
    <w:rsid w:val="00D57E6E"/>
    <w:rsid w:val="00D57F8A"/>
    <w:rsid w:val="00D62D38"/>
    <w:rsid w:val="00D639D9"/>
    <w:rsid w:val="00D64834"/>
    <w:rsid w:val="00D71798"/>
    <w:rsid w:val="00D73A46"/>
    <w:rsid w:val="00D8050F"/>
    <w:rsid w:val="00D81890"/>
    <w:rsid w:val="00D85C6D"/>
    <w:rsid w:val="00D868F6"/>
    <w:rsid w:val="00D8786A"/>
    <w:rsid w:val="00D90806"/>
    <w:rsid w:val="00D913F1"/>
    <w:rsid w:val="00D93779"/>
    <w:rsid w:val="00D93B62"/>
    <w:rsid w:val="00D93FD1"/>
    <w:rsid w:val="00D95BAE"/>
    <w:rsid w:val="00D96717"/>
    <w:rsid w:val="00DA22B5"/>
    <w:rsid w:val="00DA5441"/>
    <w:rsid w:val="00DA79E7"/>
    <w:rsid w:val="00DB568C"/>
    <w:rsid w:val="00DC1CDF"/>
    <w:rsid w:val="00DC5683"/>
    <w:rsid w:val="00DD05CA"/>
    <w:rsid w:val="00DD094B"/>
    <w:rsid w:val="00DD17F7"/>
    <w:rsid w:val="00DD1CD5"/>
    <w:rsid w:val="00DD3E80"/>
    <w:rsid w:val="00DD4AA3"/>
    <w:rsid w:val="00DD7715"/>
    <w:rsid w:val="00DE229A"/>
    <w:rsid w:val="00DE34B4"/>
    <w:rsid w:val="00DE6088"/>
    <w:rsid w:val="00DE6F86"/>
    <w:rsid w:val="00DE7BE2"/>
    <w:rsid w:val="00DF591F"/>
    <w:rsid w:val="00DF5D5D"/>
    <w:rsid w:val="00DF6D18"/>
    <w:rsid w:val="00DF6D4D"/>
    <w:rsid w:val="00E00147"/>
    <w:rsid w:val="00E02C24"/>
    <w:rsid w:val="00E07192"/>
    <w:rsid w:val="00E15C88"/>
    <w:rsid w:val="00E175DD"/>
    <w:rsid w:val="00E200A4"/>
    <w:rsid w:val="00E217A7"/>
    <w:rsid w:val="00E25A27"/>
    <w:rsid w:val="00E31822"/>
    <w:rsid w:val="00E31E4C"/>
    <w:rsid w:val="00E32E50"/>
    <w:rsid w:val="00E340B3"/>
    <w:rsid w:val="00E37614"/>
    <w:rsid w:val="00E40A7F"/>
    <w:rsid w:val="00E44584"/>
    <w:rsid w:val="00E53324"/>
    <w:rsid w:val="00E53B19"/>
    <w:rsid w:val="00E54701"/>
    <w:rsid w:val="00E54DE8"/>
    <w:rsid w:val="00E56159"/>
    <w:rsid w:val="00E56AC0"/>
    <w:rsid w:val="00E578F2"/>
    <w:rsid w:val="00E61970"/>
    <w:rsid w:val="00E6284F"/>
    <w:rsid w:val="00E630D6"/>
    <w:rsid w:val="00E64838"/>
    <w:rsid w:val="00E64B0F"/>
    <w:rsid w:val="00E66F01"/>
    <w:rsid w:val="00E70FF3"/>
    <w:rsid w:val="00E70FF8"/>
    <w:rsid w:val="00E731A1"/>
    <w:rsid w:val="00E75AEA"/>
    <w:rsid w:val="00E7697A"/>
    <w:rsid w:val="00E818C7"/>
    <w:rsid w:val="00E820E4"/>
    <w:rsid w:val="00E911CD"/>
    <w:rsid w:val="00E91668"/>
    <w:rsid w:val="00E93AC7"/>
    <w:rsid w:val="00EA4A08"/>
    <w:rsid w:val="00EA6562"/>
    <w:rsid w:val="00EA71E5"/>
    <w:rsid w:val="00EB0E51"/>
    <w:rsid w:val="00EB2D17"/>
    <w:rsid w:val="00EC02EB"/>
    <w:rsid w:val="00EC126E"/>
    <w:rsid w:val="00EC5197"/>
    <w:rsid w:val="00EC7F02"/>
    <w:rsid w:val="00ED075E"/>
    <w:rsid w:val="00ED0B7B"/>
    <w:rsid w:val="00ED4A27"/>
    <w:rsid w:val="00ED4E8D"/>
    <w:rsid w:val="00ED5F13"/>
    <w:rsid w:val="00ED798F"/>
    <w:rsid w:val="00EE0054"/>
    <w:rsid w:val="00EE13C1"/>
    <w:rsid w:val="00EE7926"/>
    <w:rsid w:val="00EF1322"/>
    <w:rsid w:val="00EF156F"/>
    <w:rsid w:val="00EF330A"/>
    <w:rsid w:val="00EF3655"/>
    <w:rsid w:val="00EF3C62"/>
    <w:rsid w:val="00EF5A98"/>
    <w:rsid w:val="00EF5F21"/>
    <w:rsid w:val="00EF6127"/>
    <w:rsid w:val="00EF6463"/>
    <w:rsid w:val="00EF78D3"/>
    <w:rsid w:val="00F01D38"/>
    <w:rsid w:val="00F02C9B"/>
    <w:rsid w:val="00F03754"/>
    <w:rsid w:val="00F0667C"/>
    <w:rsid w:val="00F103ED"/>
    <w:rsid w:val="00F13FA9"/>
    <w:rsid w:val="00F22682"/>
    <w:rsid w:val="00F231AB"/>
    <w:rsid w:val="00F25706"/>
    <w:rsid w:val="00F266D1"/>
    <w:rsid w:val="00F327AB"/>
    <w:rsid w:val="00F34A19"/>
    <w:rsid w:val="00F3583C"/>
    <w:rsid w:val="00F36836"/>
    <w:rsid w:val="00F37642"/>
    <w:rsid w:val="00F4185D"/>
    <w:rsid w:val="00F423A7"/>
    <w:rsid w:val="00F45D4E"/>
    <w:rsid w:val="00F522C6"/>
    <w:rsid w:val="00F52718"/>
    <w:rsid w:val="00F53D1A"/>
    <w:rsid w:val="00F5483B"/>
    <w:rsid w:val="00F54E03"/>
    <w:rsid w:val="00F56786"/>
    <w:rsid w:val="00F5742F"/>
    <w:rsid w:val="00F63F07"/>
    <w:rsid w:val="00F65CC6"/>
    <w:rsid w:val="00F664F0"/>
    <w:rsid w:val="00F70964"/>
    <w:rsid w:val="00F710A9"/>
    <w:rsid w:val="00F73089"/>
    <w:rsid w:val="00F76BD0"/>
    <w:rsid w:val="00F77EA7"/>
    <w:rsid w:val="00F80905"/>
    <w:rsid w:val="00F80C67"/>
    <w:rsid w:val="00F8796D"/>
    <w:rsid w:val="00F92259"/>
    <w:rsid w:val="00F9320F"/>
    <w:rsid w:val="00F94C63"/>
    <w:rsid w:val="00F9574B"/>
    <w:rsid w:val="00F95915"/>
    <w:rsid w:val="00FA2EC3"/>
    <w:rsid w:val="00FA4730"/>
    <w:rsid w:val="00FA7195"/>
    <w:rsid w:val="00FB01CD"/>
    <w:rsid w:val="00FB026D"/>
    <w:rsid w:val="00FB1ED3"/>
    <w:rsid w:val="00FB5063"/>
    <w:rsid w:val="00FC1DDB"/>
    <w:rsid w:val="00FC2F8D"/>
    <w:rsid w:val="00FC37D2"/>
    <w:rsid w:val="00FC42D1"/>
    <w:rsid w:val="00FC44C7"/>
    <w:rsid w:val="00FC4EFB"/>
    <w:rsid w:val="00FC5BF1"/>
    <w:rsid w:val="00FC6961"/>
    <w:rsid w:val="00FC6B8B"/>
    <w:rsid w:val="00FD0546"/>
    <w:rsid w:val="00FE2F98"/>
    <w:rsid w:val="00FF08E2"/>
    <w:rsid w:val="00FF1D0A"/>
    <w:rsid w:val="00FF242E"/>
    <w:rsid w:val="00FF35AC"/>
    <w:rsid w:val="00FF39F6"/>
    <w:rsid w:val="00FF44CA"/>
    <w:rsid w:val="00FF45BA"/>
  </w:rsids>
  <m:mathPr>
    <m:mathFont m:val="Cambria Math"/>
    <m:brkBin m:val="before"/>
    <m:brkBinSub m:val="--"/>
    <m:smallFrac m:val="0"/>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15:chartTrackingRefBased/>
  <w15:docId w15:val="{2F47690D-5646-3348-B342-A9FCB191E0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pt-B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notaderodap">
    <w:name w:val="footnote text"/>
    <w:basedOn w:val="Normal"/>
    <w:link w:val="TextodenotaderodapChar"/>
    <w:rsid w:val="0093733C"/>
    <w:rPr>
      <w:rFonts w:ascii="Times New Roman" w:eastAsia="Times New Roman" w:hAnsi="Times New Roman" w:cs="Times New Roman"/>
    </w:rPr>
  </w:style>
  <w:style w:type="character" w:customStyle="1" w:styleId="TextodenotaderodapChar">
    <w:name w:val="Texto de nota de rodapé Char"/>
    <w:basedOn w:val="Fontepargpadro"/>
    <w:link w:val="Textodenotaderodap"/>
    <w:rsid w:val="0093733C"/>
    <w:rPr>
      <w:rFonts w:ascii="Times New Roman" w:eastAsia="Times New Roman" w:hAnsi="Times New Roman" w:cs="Times New Roman"/>
    </w:rPr>
  </w:style>
  <w:style w:type="character" w:styleId="Refdenotaderodap">
    <w:name w:val="footnote reference"/>
    <w:basedOn w:val="Fontepargpadro"/>
    <w:rsid w:val="0093733C"/>
    <w:rPr>
      <w:vertAlign w:val="superscript"/>
    </w:rPr>
  </w:style>
  <w:style w:type="paragraph" w:styleId="PargrafodaLista">
    <w:name w:val="List Paragraph"/>
    <w:basedOn w:val="Normal"/>
    <w:uiPriority w:val="34"/>
    <w:qFormat/>
    <w:rsid w:val="0093733C"/>
    <w:pPr>
      <w:spacing w:after="160" w:line="259" w:lineRule="auto"/>
      <w:ind w:left="720"/>
      <w:contextualSpacing/>
    </w:pPr>
    <w:rPr>
      <w:sz w:val="22"/>
      <w:szCs w:val="22"/>
    </w:rPr>
  </w:style>
  <w:style w:type="paragraph" w:styleId="Rodap">
    <w:name w:val="footer"/>
    <w:basedOn w:val="Normal"/>
    <w:link w:val="RodapChar"/>
    <w:uiPriority w:val="99"/>
    <w:unhideWhenUsed/>
    <w:rsid w:val="00B12FC0"/>
    <w:pPr>
      <w:tabs>
        <w:tab w:val="center" w:pos="4252"/>
        <w:tab w:val="right" w:pos="8504"/>
      </w:tabs>
    </w:pPr>
  </w:style>
  <w:style w:type="character" w:customStyle="1" w:styleId="RodapChar">
    <w:name w:val="Rodapé Char"/>
    <w:basedOn w:val="Fontepargpadro"/>
    <w:link w:val="Rodap"/>
    <w:uiPriority w:val="99"/>
    <w:rsid w:val="00B12FC0"/>
  </w:style>
  <w:style w:type="character" w:styleId="Nmerodepgina">
    <w:name w:val="page number"/>
    <w:basedOn w:val="Fontepargpadro"/>
    <w:uiPriority w:val="99"/>
    <w:semiHidden/>
    <w:unhideWhenUsed/>
    <w:rsid w:val="00B12FC0"/>
  </w:style>
  <w:style w:type="paragraph" w:styleId="Textodebalo">
    <w:name w:val="Balloon Text"/>
    <w:basedOn w:val="Normal"/>
    <w:link w:val="TextodebaloChar"/>
    <w:uiPriority w:val="99"/>
    <w:semiHidden/>
    <w:unhideWhenUsed/>
    <w:rsid w:val="00621454"/>
    <w:rPr>
      <w:rFonts w:ascii="Times New Roman" w:hAnsi="Times New Roman" w:cs="Times New Roman"/>
      <w:sz w:val="18"/>
      <w:szCs w:val="18"/>
    </w:rPr>
  </w:style>
  <w:style w:type="character" w:customStyle="1" w:styleId="TextodebaloChar">
    <w:name w:val="Texto de balão Char"/>
    <w:basedOn w:val="Fontepargpadro"/>
    <w:link w:val="Textodebalo"/>
    <w:uiPriority w:val="99"/>
    <w:semiHidden/>
    <w:rsid w:val="00621454"/>
    <w:rPr>
      <w:rFonts w:ascii="Times New Roman" w:hAnsi="Times New Roman" w:cs="Times New Roman"/>
      <w:sz w:val="18"/>
      <w:szCs w:val="18"/>
    </w:rPr>
  </w:style>
  <w:style w:type="character" w:styleId="Hyperlink">
    <w:name w:val="Hyperlink"/>
    <w:basedOn w:val="Fontepargpadro"/>
    <w:uiPriority w:val="99"/>
    <w:unhideWhenUsed/>
    <w:rsid w:val="002A73E2"/>
    <w:rPr>
      <w:color w:val="0000FF"/>
      <w:u w:val="single"/>
    </w:rPr>
  </w:style>
  <w:style w:type="character" w:styleId="MenoPendente">
    <w:name w:val="Unresolved Mention"/>
    <w:basedOn w:val="Fontepargpadro"/>
    <w:uiPriority w:val="99"/>
    <w:rsid w:val="007C474D"/>
    <w:rPr>
      <w:color w:val="605E5C"/>
      <w:shd w:val="clear" w:color="auto" w:fill="E1DFDD"/>
    </w:rPr>
  </w:style>
  <w:style w:type="character" w:styleId="HiperlinkVisitado">
    <w:name w:val="FollowedHyperlink"/>
    <w:basedOn w:val="Fontepargpadro"/>
    <w:uiPriority w:val="99"/>
    <w:semiHidden/>
    <w:unhideWhenUsed/>
    <w:rsid w:val="00A64F8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16761658">
      <w:bodyDiv w:val="1"/>
      <w:marLeft w:val="0"/>
      <w:marRight w:val="0"/>
      <w:marTop w:val="0"/>
      <w:marBottom w:val="0"/>
      <w:divBdr>
        <w:top w:val="none" w:sz="0" w:space="0" w:color="auto"/>
        <w:left w:val="none" w:sz="0" w:space="0" w:color="auto"/>
        <w:bottom w:val="none" w:sz="0" w:space="0" w:color="auto"/>
        <w:right w:val="none" w:sz="0" w:space="0" w:color="auto"/>
      </w:divBdr>
      <w:divsChild>
        <w:div w:id="79838643">
          <w:marLeft w:val="0"/>
          <w:marRight w:val="0"/>
          <w:marTop w:val="0"/>
          <w:marBottom w:val="0"/>
          <w:divBdr>
            <w:top w:val="none" w:sz="0" w:space="0" w:color="auto"/>
            <w:left w:val="none" w:sz="0" w:space="0" w:color="auto"/>
            <w:bottom w:val="none" w:sz="0" w:space="0" w:color="auto"/>
            <w:right w:val="none" w:sz="0" w:space="0" w:color="auto"/>
          </w:divBdr>
          <w:divsChild>
            <w:div w:id="892619821">
              <w:marLeft w:val="0"/>
              <w:marRight w:val="0"/>
              <w:marTop w:val="0"/>
              <w:marBottom w:val="0"/>
              <w:divBdr>
                <w:top w:val="none" w:sz="0" w:space="0" w:color="auto"/>
                <w:left w:val="none" w:sz="0" w:space="0" w:color="auto"/>
                <w:bottom w:val="none" w:sz="0" w:space="0" w:color="auto"/>
                <w:right w:val="none" w:sz="0" w:space="0" w:color="auto"/>
              </w:divBdr>
              <w:divsChild>
                <w:div w:id="354383007">
                  <w:marLeft w:val="0"/>
                  <w:marRight w:val="0"/>
                  <w:marTop w:val="0"/>
                  <w:marBottom w:val="0"/>
                  <w:divBdr>
                    <w:top w:val="none" w:sz="0" w:space="0" w:color="auto"/>
                    <w:left w:val="none" w:sz="0" w:space="0" w:color="auto"/>
                    <w:bottom w:val="none" w:sz="0" w:space="0" w:color="auto"/>
                    <w:right w:val="none" w:sz="0" w:space="0" w:color="auto"/>
                  </w:divBdr>
                  <w:divsChild>
                    <w:div w:id="1377120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9548546">
      <w:bodyDiv w:val="1"/>
      <w:marLeft w:val="0"/>
      <w:marRight w:val="0"/>
      <w:marTop w:val="0"/>
      <w:marBottom w:val="0"/>
      <w:divBdr>
        <w:top w:val="none" w:sz="0" w:space="0" w:color="auto"/>
        <w:left w:val="none" w:sz="0" w:space="0" w:color="auto"/>
        <w:bottom w:val="none" w:sz="0" w:space="0" w:color="auto"/>
        <w:right w:val="none" w:sz="0" w:space="0" w:color="auto"/>
      </w:divBdr>
    </w:div>
    <w:div w:id="1250580452">
      <w:bodyDiv w:val="1"/>
      <w:marLeft w:val="0"/>
      <w:marRight w:val="0"/>
      <w:marTop w:val="0"/>
      <w:marBottom w:val="0"/>
      <w:divBdr>
        <w:top w:val="none" w:sz="0" w:space="0" w:color="auto"/>
        <w:left w:val="none" w:sz="0" w:space="0" w:color="auto"/>
        <w:bottom w:val="none" w:sz="0" w:space="0" w:color="auto"/>
        <w:right w:val="none" w:sz="0" w:space="0" w:color="auto"/>
      </w:divBdr>
    </w:div>
    <w:div w:id="1470392560">
      <w:bodyDiv w:val="1"/>
      <w:marLeft w:val="0"/>
      <w:marRight w:val="0"/>
      <w:marTop w:val="0"/>
      <w:marBottom w:val="0"/>
      <w:divBdr>
        <w:top w:val="none" w:sz="0" w:space="0" w:color="auto"/>
        <w:left w:val="none" w:sz="0" w:space="0" w:color="auto"/>
        <w:bottom w:val="none" w:sz="0" w:space="0" w:color="auto"/>
        <w:right w:val="none" w:sz="0" w:space="0" w:color="auto"/>
      </w:divBdr>
      <w:divsChild>
        <w:div w:id="171339092">
          <w:marLeft w:val="0"/>
          <w:marRight w:val="0"/>
          <w:marTop w:val="0"/>
          <w:marBottom w:val="0"/>
          <w:divBdr>
            <w:top w:val="none" w:sz="0" w:space="0" w:color="auto"/>
            <w:left w:val="none" w:sz="0" w:space="0" w:color="auto"/>
            <w:bottom w:val="none" w:sz="0" w:space="0" w:color="auto"/>
            <w:right w:val="none" w:sz="0" w:space="0" w:color="auto"/>
          </w:divBdr>
          <w:divsChild>
            <w:div w:id="1304002152">
              <w:marLeft w:val="0"/>
              <w:marRight w:val="0"/>
              <w:marTop w:val="0"/>
              <w:marBottom w:val="0"/>
              <w:divBdr>
                <w:top w:val="none" w:sz="0" w:space="0" w:color="auto"/>
                <w:left w:val="none" w:sz="0" w:space="0" w:color="auto"/>
                <w:bottom w:val="none" w:sz="0" w:space="0" w:color="auto"/>
                <w:right w:val="none" w:sz="0" w:space="0" w:color="auto"/>
              </w:divBdr>
              <w:divsChild>
                <w:div w:id="903373068">
                  <w:marLeft w:val="0"/>
                  <w:marRight w:val="0"/>
                  <w:marTop w:val="0"/>
                  <w:marBottom w:val="0"/>
                  <w:divBdr>
                    <w:top w:val="none" w:sz="0" w:space="0" w:color="auto"/>
                    <w:left w:val="none" w:sz="0" w:space="0" w:color="auto"/>
                    <w:bottom w:val="none" w:sz="0" w:space="0" w:color="auto"/>
                    <w:right w:val="none" w:sz="0" w:space="0" w:color="auto"/>
                  </w:divBdr>
                  <w:divsChild>
                    <w:div w:id="119735838">
                      <w:marLeft w:val="0"/>
                      <w:marRight w:val="0"/>
                      <w:marTop w:val="0"/>
                      <w:marBottom w:val="0"/>
                      <w:divBdr>
                        <w:top w:val="none" w:sz="0" w:space="0" w:color="auto"/>
                        <w:left w:val="none" w:sz="0" w:space="0" w:color="auto"/>
                        <w:bottom w:val="none" w:sz="0" w:space="0" w:color="auto"/>
                        <w:right w:val="none" w:sz="0" w:space="0" w:color="auto"/>
                      </w:divBdr>
                    </w:div>
                  </w:divsChild>
                </w:div>
                <w:div w:id="1075930606">
                  <w:marLeft w:val="0"/>
                  <w:marRight w:val="0"/>
                  <w:marTop w:val="0"/>
                  <w:marBottom w:val="0"/>
                  <w:divBdr>
                    <w:top w:val="none" w:sz="0" w:space="0" w:color="auto"/>
                    <w:left w:val="none" w:sz="0" w:space="0" w:color="auto"/>
                    <w:bottom w:val="none" w:sz="0" w:space="0" w:color="auto"/>
                    <w:right w:val="none" w:sz="0" w:space="0" w:color="auto"/>
                  </w:divBdr>
                  <w:divsChild>
                    <w:div w:id="686638480">
                      <w:marLeft w:val="0"/>
                      <w:marRight w:val="0"/>
                      <w:marTop w:val="0"/>
                      <w:marBottom w:val="0"/>
                      <w:divBdr>
                        <w:top w:val="none" w:sz="0" w:space="0" w:color="auto"/>
                        <w:left w:val="none" w:sz="0" w:space="0" w:color="auto"/>
                        <w:bottom w:val="none" w:sz="0" w:space="0" w:color="auto"/>
                        <w:right w:val="none" w:sz="0" w:space="0" w:color="auto"/>
                      </w:divBdr>
                    </w:div>
                  </w:divsChild>
                </w:div>
                <w:div w:id="917519359">
                  <w:marLeft w:val="0"/>
                  <w:marRight w:val="0"/>
                  <w:marTop w:val="0"/>
                  <w:marBottom w:val="0"/>
                  <w:divBdr>
                    <w:top w:val="none" w:sz="0" w:space="0" w:color="auto"/>
                    <w:left w:val="none" w:sz="0" w:space="0" w:color="auto"/>
                    <w:bottom w:val="none" w:sz="0" w:space="0" w:color="auto"/>
                    <w:right w:val="none" w:sz="0" w:space="0" w:color="auto"/>
                  </w:divBdr>
                  <w:divsChild>
                    <w:div w:id="1861312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7442444">
      <w:bodyDiv w:val="1"/>
      <w:marLeft w:val="0"/>
      <w:marRight w:val="0"/>
      <w:marTop w:val="0"/>
      <w:marBottom w:val="0"/>
      <w:divBdr>
        <w:top w:val="none" w:sz="0" w:space="0" w:color="auto"/>
        <w:left w:val="none" w:sz="0" w:space="0" w:color="auto"/>
        <w:bottom w:val="none" w:sz="0" w:space="0" w:color="auto"/>
        <w:right w:val="none" w:sz="0" w:space="0" w:color="auto"/>
      </w:divBdr>
    </w:div>
    <w:div w:id="2109302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tiff"/></Relationships>
</file>

<file path=word/_rels/footnotes.xml.rels><?xml version="1.0" encoding="UTF-8" standalone="yes"?>
<Relationships xmlns="http://schemas.openxmlformats.org/package/2006/relationships"><Relationship Id="rId3" Type="http://schemas.openxmlformats.org/officeDocument/2006/relationships/hyperlink" Target="http://www.ftc.gov" TargetMode="External"/><Relationship Id="rId2" Type="http://schemas.openxmlformats.org/officeDocument/2006/relationships/hyperlink" Target="http://www2.camara.leg.br/atividade-legislativa/webcamara/videoArquivo?codSessao=75739" TargetMode="External"/><Relationship Id="rId1" Type="http://schemas.openxmlformats.org/officeDocument/2006/relationships/hyperlink" Target="https://www.eia.gov/energyexplained/index.php?page=biofuel_ethanol_environment" TargetMode="Externa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52</Pages>
  <Words>23118</Words>
  <Characters>124838</Characters>
  <Application>Microsoft Office Word</Application>
  <DocSecurity>0</DocSecurity>
  <Lines>1040</Lines>
  <Paragraphs>295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Rodrigo Zingales</dc:creator>
  <cp:keywords/>
  <dc:description/>
  <cp:lastModifiedBy>Rodrigo Zingales</cp:lastModifiedBy>
  <cp:revision>3</cp:revision>
  <cp:lastPrinted>2018-09-04T21:28:00Z</cp:lastPrinted>
  <dcterms:created xsi:type="dcterms:W3CDTF">2018-11-19T14:46:00Z</dcterms:created>
  <dcterms:modified xsi:type="dcterms:W3CDTF">2018-11-19T14:46:00Z</dcterms:modified>
</cp:coreProperties>
</file>